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049DDDC6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4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726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26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7722B" w14:textId="605BB7E1" w:rsidR="00AD59C6" w:rsidRPr="00AD59C6" w:rsidRDefault="00AD59C6" w:rsidP="00327F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работника(</w:t>
      </w:r>
      <w:proofErr w:type="spell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7267CF" w:rsidRPr="00F5312E">
        <w:rPr>
          <w:b/>
          <w:bCs/>
        </w:rPr>
        <w:t>Бухгалтерская и налоговая отчетность за 1 квартал 2025.Последние изменения в законодательстве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14:paraId="19E3D203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14:paraId="53FC7044" w14:textId="77777777"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14:paraId="166BBCDE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395429" w14:textId="77777777"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14:paraId="121D79A4" w14:textId="77777777" w:rsidR="007267CF" w:rsidRPr="003D0727" w:rsidRDefault="007267CF" w:rsidP="007267CF">
      <w:pPr>
        <w:numPr>
          <w:ilvl w:val="0"/>
          <w:numId w:val="43"/>
        </w:numPr>
        <w:tabs>
          <w:tab w:val="clear" w:pos="720"/>
        </w:tabs>
        <w:spacing w:after="0" w:line="240" w:lineRule="auto"/>
        <w:ind w:left="284" w:hanging="284"/>
        <w:rPr>
          <w:b/>
          <w:bCs/>
          <w:color w:val="000099"/>
          <w:sz w:val="24"/>
          <w:szCs w:val="24"/>
        </w:rPr>
      </w:pPr>
      <w:r w:rsidRPr="00E43D9E">
        <w:rPr>
          <w:b/>
          <w:color w:val="000099"/>
          <w:sz w:val="24"/>
          <w:szCs w:val="24"/>
        </w:rPr>
        <w:t>Бухгалтерская отчетность по новым правилам с 2025г</w:t>
      </w:r>
      <w:r>
        <w:rPr>
          <w:b/>
          <w:color w:val="000099"/>
          <w:sz w:val="24"/>
          <w:szCs w:val="24"/>
        </w:rPr>
        <w:t xml:space="preserve"> </w:t>
      </w:r>
    </w:p>
    <w:p w14:paraId="0FD03563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F5312E">
        <w:rPr>
          <w:rFonts w:ascii="Times New Roman" w:hAnsi="Times New Roman" w:cs="Times New Roman"/>
          <w:color w:val="000000"/>
          <w:sz w:val="21"/>
          <w:szCs w:val="21"/>
        </w:rPr>
        <w:t xml:space="preserve">Минфин утвердил план развития бухгалтерского учёта до 2030 года: какие новшества. </w:t>
      </w:r>
    </w:p>
    <w:p w14:paraId="419CE245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F5312E">
        <w:rPr>
          <w:rFonts w:ascii="Times New Roman" w:hAnsi="Times New Roman" w:cs="Times New Roman"/>
          <w:color w:val="000000"/>
          <w:sz w:val="21"/>
          <w:szCs w:val="21"/>
        </w:rPr>
        <w:t>Теперь инвентаризация только по ФСБУ 28/2023 «Инвентаризация».</w:t>
      </w:r>
    </w:p>
    <w:p w14:paraId="3AA13999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hAnsi="Times New Roman" w:cs="Times New Roman"/>
          <w:color w:val="000000"/>
          <w:sz w:val="21"/>
          <w:szCs w:val="21"/>
        </w:rPr>
      </w:pPr>
      <w:r w:rsidRPr="00F5312E">
        <w:rPr>
          <w:rFonts w:ascii="Times New Roman" w:hAnsi="Times New Roman" w:cs="Times New Roman"/>
          <w:color w:val="000000"/>
          <w:sz w:val="21"/>
          <w:szCs w:val="21"/>
        </w:rPr>
        <w:t>Особенности подготовки промежуточной бухгалтерской (финансовой) отчётности за I квартал 2025 года с учётом изменений в бухгалтерском законодательстве. Топ ошибок при применении ФСБУ и их исправление. Пояснения как неотъемлемая составляющая отчетности.</w:t>
      </w:r>
      <w:r w:rsidRPr="00F5312E">
        <w:rPr>
          <w:color w:val="000000"/>
          <w:sz w:val="21"/>
          <w:szCs w:val="21"/>
        </w:rPr>
        <w:t xml:space="preserve"> </w:t>
      </w:r>
    </w:p>
    <w:p w14:paraId="562B75D4" w14:textId="77777777" w:rsidR="007267CF" w:rsidRPr="005A0BBD" w:rsidRDefault="007267CF" w:rsidP="007267CF">
      <w:pPr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 Налоговое и неналоговое администрирование: зоны риска и важное для практики.</w:t>
      </w:r>
    </w:p>
    <w:p w14:paraId="5C541849" w14:textId="77777777" w:rsidR="007267CF" w:rsidRPr="005A0BBD" w:rsidRDefault="007267CF" w:rsidP="007267CF">
      <w:pPr>
        <w:textAlignment w:val="baseline"/>
        <w:rPr>
          <w:b/>
          <w:color w:val="000099"/>
          <w:sz w:val="24"/>
          <w:szCs w:val="24"/>
        </w:rPr>
      </w:pPr>
      <w:r w:rsidRPr="005A0BBD">
        <w:rPr>
          <w:b/>
          <w:color w:val="000099"/>
          <w:sz w:val="24"/>
          <w:szCs w:val="24"/>
        </w:rPr>
        <w:t>2.1.  Общие вопросы  </w:t>
      </w:r>
    </w:p>
    <w:p w14:paraId="2134934B" w14:textId="77777777" w:rsidR="007267CF" w:rsidRPr="001030C8" w:rsidRDefault="007267CF" w:rsidP="007267CF">
      <w:pPr>
        <w:pStyle w:val="a8"/>
        <w:numPr>
          <w:ilvl w:val="0"/>
          <w:numId w:val="13"/>
        </w:numPr>
        <w:spacing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color w:val="000000"/>
          <w:sz w:val="21"/>
          <w:szCs w:val="21"/>
        </w:rPr>
        <w:t xml:space="preserve">ОКВЭД и разрешительная деятельность. </w:t>
      </w:r>
    </w:p>
    <w:p w14:paraId="790377DD" w14:textId="77777777" w:rsidR="007267CF" w:rsidRPr="001030C8" w:rsidRDefault="007267CF" w:rsidP="007267CF">
      <w:pPr>
        <w:pStyle w:val="a8"/>
        <w:numPr>
          <w:ilvl w:val="0"/>
          <w:numId w:val="13"/>
        </w:numPr>
        <w:spacing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color w:val="000000"/>
          <w:sz w:val="21"/>
          <w:szCs w:val="21"/>
        </w:rPr>
        <w:t>Взаимоотношения с налоговыми органами: отдельные вопросы истребования документов, неправомерное уменьшение ФНС сальдо по ЕНС.</w:t>
      </w:r>
    </w:p>
    <w:p w14:paraId="151A4E67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5312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>Последствия непредставления уведомлений.</w:t>
      </w:r>
      <w:r w:rsidRPr="001030C8">
        <w:rPr>
          <w:color w:val="000000"/>
          <w:sz w:val="21"/>
          <w:szCs w:val="21"/>
        </w:rPr>
        <w:t xml:space="preserve"> Новый порядок начисления пеней на 2025 год</w:t>
      </w:r>
      <w:r w:rsidRPr="00F5312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 </w:t>
      </w:r>
    </w:p>
    <w:p w14:paraId="2D3E754C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5312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Борьба с «бумажным» НДС </w:t>
      </w:r>
    </w:p>
    <w:p w14:paraId="5026C112" w14:textId="77777777" w:rsidR="007267CF" w:rsidRPr="00F5312E" w:rsidRDefault="007267CF" w:rsidP="007267CF">
      <w:pPr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contextualSpacing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F5312E">
        <w:rPr>
          <w:rFonts w:ascii="Times New Roman" w:eastAsia="Times New Roman" w:hAnsi="Times New Roman"/>
          <w:color w:val="000000"/>
          <w:sz w:val="21"/>
          <w:szCs w:val="21"/>
          <w:lang w:eastAsia="ru-RU"/>
        </w:rPr>
        <w:t xml:space="preserve">Нелегальная занятость: реестр начал заполняться </w:t>
      </w:r>
    </w:p>
    <w:p w14:paraId="79C9AEEB" w14:textId="77777777" w:rsidR="007267CF" w:rsidRPr="00112DC4" w:rsidRDefault="007267CF" w:rsidP="007267CF">
      <w:pPr>
        <w:contextualSpacing/>
        <w:textAlignment w:val="baseline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2.2</w:t>
      </w:r>
      <w:r w:rsidRPr="00112DC4">
        <w:rPr>
          <w:b/>
          <w:color w:val="000099"/>
          <w:sz w:val="24"/>
          <w:szCs w:val="24"/>
        </w:rPr>
        <w:t xml:space="preserve">. </w:t>
      </w:r>
      <w:r>
        <w:rPr>
          <w:b/>
          <w:color w:val="000099"/>
          <w:sz w:val="24"/>
          <w:szCs w:val="24"/>
        </w:rPr>
        <w:t>«</w:t>
      </w:r>
      <w:r w:rsidRPr="00112DC4">
        <w:rPr>
          <w:b/>
          <w:color w:val="000099"/>
          <w:sz w:val="24"/>
          <w:szCs w:val="24"/>
        </w:rPr>
        <w:t>Зарплатные» налоги и сборы:</w:t>
      </w:r>
    </w:p>
    <w:p w14:paraId="49487657" w14:textId="77777777" w:rsidR="007267CF" w:rsidRPr="001030C8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b/>
          <w:bCs/>
          <w:color w:val="000000"/>
          <w:sz w:val="21"/>
          <w:szCs w:val="21"/>
        </w:rPr>
        <w:t>НДФЛ: новации 2025г. применяем правильно </w:t>
      </w:r>
      <w:r w:rsidRPr="001030C8">
        <w:rPr>
          <w:color w:val="000000"/>
          <w:sz w:val="21"/>
          <w:szCs w:val="21"/>
        </w:rPr>
        <w:t xml:space="preserve">(прогрессивная шкала НДФЛ, двухуровневая система ставок, расчет материальной выгоды, стандартные вычеты, необлагаемые выплаты и др.). </w:t>
      </w:r>
    </w:p>
    <w:p w14:paraId="7BF0C2F1" w14:textId="77777777" w:rsidR="007267CF" w:rsidRPr="001030C8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b/>
          <w:bCs/>
          <w:color w:val="000000"/>
          <w:sz w:val="21"/>
          <w:szCs w:val="21"/>
        </w:rPr>
        <w:t>Непредвиденные проблемы с НДФЛ</w:t>
      </w:r>
      <w:r w:rsidRPr="001030C8">
        <w:rPr>
          <w:color w:val="000000"/>
          <w:sz w:val="21"/>
          <w:szCs w:val="21"/>
        </w:rPr>
        <w:t xml:space="preserve"> из-за налоговой реформы.</w:t>
      </w:r>
    </w:p>
    <w:p w14:paraId="5E73817F" w14:textId="77777777" w:rsidR="007267CF" w:rsidRPr="001030C8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b/>
          <w:bCs/>
          <w:color w:val="000000"/>
          <w:sz w:val="21"/>
          <w:szCs w:val="21"/>
        </w:rPr>
        <w:t>Дивиденды</w:t>
      </w:r>
      <w:r w:rsidRPr="001030C8">
        <w:rPr>
          <w:color w:val="000000"/>
          <w:sz w:val="21"/>
          <w:szCs w:val="21"/>
        </w:rPr>
        <w:t>: особенности налогообложения в 2025г и отражения в отчетности.</w:t>
      </w:r>
    </w:p>
    <w:p w14:paraId="103BDF59" w14:textId="77777777" w:rsidR="007267CF" w:rsidRPr="001030C8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color w:val="000000"/>
          <w:sz w:val="21"/>
          <w:szCs w:val="21"/>
        </w:rPr>
        <w:t>6-НДФЛ за1 квартал 2025г: особенности заполнения.</w:t>
      </w:r>
    </w:p>
    <w:p w14:paraId="63F4169F" w14:textId="77777777" w:rsidR="007267CF" w:rsidRPr="001030C8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1030C8">
        <w:rPr>
          <w:b/>
          <w:bCs/>
          <w:color w:val="000000"/>
          <w:sz w:val="21"/>
          <w:szCs w:val="21"/>
        </w:rPr>
        <w:t>Страховые взносы: изменения с 2025г. РСВ за I квартал 2025 года</w:t>
      </w:r>
    </w:p>
    <w:p w14:paraId="2614C1EE" w14:textId="77777777" w:rsidR="007267CF" w:rsidRPr="001030C8" w:rsidRDefault="007267CF" w:rsidP="007267CF">
      <w:pPr>
        <w:pStyle w:val="a8"/>
        <w:ind w:left="709"/>
        <w:rPr>
          <w:color w:val="000000"/>
          <w:sz w:val="21"/>
          <w:szCs w:val="21"/>
        </w:rPr>
      </w:pPr>
    </w:p>
    <w:p w14:paraId="05609E15" w14:textId="77777777" w:rsidR="007267CF" w:rsidRPr="00936C22" w:rsidRDefault="007267CF" w:rsidP="007267CF">
      <w:pPr>
        <w:pStyle w:val="a8"/>
        <w:ind w:hanging="720"/>
        <w:rPr>
          <w:b/>
          <w:color w:val="000099"/>
          <w:sz w:val="24"/>
          <w:szCs w:val="24"/>
        </w:rPr>
      </w:pPr>
      <w:r>
        <w:rPr>
          <w:b/>
          <w:color w:val="000099"/>
          <w:sz w:val="24"/>
          <w:szCs w:val="24"/>
        </w:rPr>
        <w:t>2.3</w:t>
      </w:r>
      <w:r w:rsidRPr="00E7150E">
        <w:rPr>
          <w:b/>
          <w:color w:val="000099"/>
          <w:sz w:val="24"/>
          <w:szCs w:val="24"/>
        </w:rPr>
        <w:t>.</w:t>
      </w:r>
      <w:r>
        <w:rPr>
          <w:b/>
          <w:color w:val="000099"/>
          <w:sz w:val="24"/>
          <w:szCs w:val="24"/>
        </w:rPr>
        <w:t xml:space="preserve">    </w:t>
      </w:r>
      <w:r w:rsidRPr="00936C22">
        <w:rPr>
          <w:b/>
          <w:color w:val="000099"/>
          <w:sz w:val="24"/>
          <w:szCs w:val="24"/>
        </w:rPr>
        <w:t>Налог на прибыль: изменения и практика применения</w:t>
      </w:r>
    </w:p>
    <w:p w14:paraId="669D3E34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>2025г: основные изменения по налогу на прибыль.</w:t>
      </w:r>
    </w:p>
    <w:p w14:paraId="39684208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>Какие расходы на интернет-рекламу нельзя учесть в «прибыльной» базе </w:t>
      </w:r>
    </w:p>
    <w:p w14:paraId="6FBA1162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 xml:space="preserve">Налог на прибыль и туристический налог </w:t>
      </w:r>
    </w:p>
    <w:p w14:paraId="5039CCB2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>Отдельные вопросы подготовки декларации по налогу на прибыль за 1 квартал 2025 год (разъяснения МФ, ФНС)</w:t>
      </w:r>
    </w:p>
    <w:p w14:paraId="546E9850" w14:textId="77777777" w:rsidR="007267CF" w:rsidRPr="001030C8" w:rsidRDefault="007267CF" w:rsidP="007267CF">
      <w:pPr>
        <w:pStyle w:val="a8"/>
        <w:ind w:hanging="720"/>
        <w:rPr>
          <w:rFonts w:ascii="Aptos" w:hAnsi="Aptos" w:cs="Aptos"/>
          <w:b/>
          <w:color w:val="000000"/>
        </w:rPr>
      </w:pPr>
      <w:r>
        <w:rPr>
          <w:b/>
          <w:color w:val="000099"/>
          <w:sz w:val="24"/>
          <w:szCs w:val="24"/>
        </w:rPr>
        <w:t xml:space="preserve">2.4. </w:t>
      </w:r>
      <w:r w:rsidRPr="006B1C8C">
        <w:rPr>
          <w:b/>
          <w:color w:val="000099"/>
          <w:sz w:val="24"/>
          <w:szCs w:val="24"/>
        </w:rPr>
        <w:t xml:space="preserve">НДС: обзор основных изменений, практические вопросы исчисления и уплаты налога </w:t>
      </w:r>
    </w:p>
    <w:p w14:paraId="31D61220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>Изменения по НДС – 2025. Разъяснения МФ. Новые форматы документов.</w:t>
      </w:r>
    </w:p>
    <w:p w14:paraId="7C822007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lastRenderedPageBreak/>
        <w:t>Обзор свежей судебной практики по НДС.</w:t>
      </w:r>
    </w:p>
    <w:p w14:paraId="2713948C" w14:textId="77777777" w:rsidR="007267CF" w:rsidRPr="00F5312E" w:rsidRDefault="007267CF" w:rsidP="007267CF">
      <w:pPr>
        <w:pStyle w:val="a8"/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rPr>
          <w:color w:val="000000"/>
          <w:sz w:val="21"/>
          <w:szCs w:val="21"/>
        </w:rPr>
      </w:pPr>
      <w:r w:rsidRPr="00F5312E">
        <w:rPr>
          <w:color w:val="000000"/>
          <w:sz w:val="21"/>
          <w:szCs w:val="21"/>
        </w:rPr>
        <w:t>Отдельные вопросы формирования налоговой базы по НДС (авансы, возвраты товара, исправленные и корректировочные счета-фактуры).</w:t>
      </w:r>
    </w:p>
    <w:p w14:paraId="385E759F" w14:textId="77777777" w:rsidR="00327F75" w:rsidRPr="00327F75" w:rsidRDefault="00327F75" w:rsidP="003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32"/>
          <w:szCs w:val="32"/>
          <w:lang w:eastAsia="ru-RU"/>
        </w:rPr>
      </w:pPr>
    </w:p>
    <w:p w14:paraId="0FF8ACAA" w14:textId="77777777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14:paraId="5204B705" w14:textId="5DBEBEEF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Дата оказания Услуг по настоящему Договору: </w:t>
      </w:r>
      <w:proofErr w:type="gramStart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 »</w:t>
      </w:r>
      <w:proofErr w:type="gramEnd"/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0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Hlk1931921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0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79B8A193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195267B2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2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2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63E8DBD5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proofErr w:type="gramStart"/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40A1FACF"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DC017B">
        <w:rPr>
          <w:rFonts w:ascii="Times New Roman" w:eastAsia="Times New Roman" w:hAnsi="Times New Roman" w:cs="Times New Roman"/>
          <w:lang w:eastAsia="ru-RU"/>
        </w:rPr>
        <w:t>4с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от 14.03.2025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proofErr w:type="gramEnd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г  информационно-консультационные услуги в форме семинара (онлайн-трансляции семинара) по теме: 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7267CF" w:rsidRPr="00F5312E">
        <w:rPr>
          <w:b/>
          <w:bCs/>
        </w:rPr>
        <w:t>Бухгалтерская и налоговая отчетность за 1 квартал 2025.Последние изменения в законодательстве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6180400F" w:rsidR="000A48D0" w:rsidRPr="006A3A10" w:rsidRDefault="007267CF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3157F41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846B6" w14:textId="77777777" w:rsidR="00CB3D3F" w:rsidRDefault="00CB3D3F">
      <w:pPr>
        <w:spacing w:after="0" w:line="240" w:lineRule="auto"/>
      </w:pPr>
      <w:r>
        <w:separator/>
      </w:r>
    </w:p>
  </w:endnote>
  <w:endnote w:type="continuationSeparator" w:id="0">
    <w:p w14:paraId="2787C3B1" w14:textId="77777777" w:rsidR="00CB3D3F" w:rsidRDefault="00CB3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EC951" w14:textId="77777777" w:rsidR="00CB3D3F" w:rsidRDefault="00CB3D3F">
      <w:pPr>
        <w:spacing w:after="0" w:line="240" w:lineRule="auto"/>
      </w:pPr>
      <w:r>
        <w:separator/>
      </w:r>
    </w:p>
  </w:footnote>
  <w:footnote w:type="continuationSeparator" w:id="0">
    <w:p w14:paraId="6C467F55" w14:textId="77777777" w:rsidR="00CB3D3F" w:rsidRDefault="00CB3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3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7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0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1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0"/>
  </w:num>
  <w:num w:numId="2" w16cid:durableId="294874170">
    <w:abstractNumId w:val="16"/>
  </w:num>
  <w:num w:numId="3" w16cid:durableId="1554654291">
    <w:abstractNumId w:val="13"/>
  </w:num>
  <w:num w:numId="4" w16cid:durableId="383454781">
    <w:abstractNumId w:val="1"/>
  </w:num>
  <w:num w:numId="5" w16cid:durableId="1127892700">
    <w:abstractNumId w:val="29"/>
  </w:num>
  <w:num w:numId="6" w16cid:durableId="1323393472">
    <w:abstractNumId w:val="8"/>
  </w:num>
  <w:num w:numId="7" w16cid:durableId="688600478">
    <w:abstractNumId w:val="21"/>
  </w:num>
  <w:num w:numId="8" w16cid:durableId="250236980">
    <w:abstractNumId w:val="30"/>
  </w:num>
  <w:num w:numId="9" w16cid:durableId="1881823689">
    <w:abstractNumId w:val="9"/>
  </w:num>
  <w:num w:numId="10" w16cid:durableId="1258950029">
    <w:abstractNumId w:val="14"/>
  </w:num>
  <w:num w:numId="11" w16cid:durableId="298804836">
    <w:abstractNumId w:val="12"/>
  </w:num>
  <w:num w:numId="12" w16cid:durableId="1881358905">
    <w:abstractNumId w:val="42"/>
  </w:num>
  <w:num w:numId="13" w16cid:durableId="853229856">
    <w:abstractNumId w:val="35"/>
  </w:num>
  <w:num w:numId="14" w16cid:durableId="1457600171">
    <w:abstractNumId w:val="34"/>
  </w:num>
  <w:num w:numId="15" w16cid:durableId="1153065025">
    <w:abstractNumId w:val="23"/>
  </w:num>
  <w:num w:numId="16" w16cid:durableId="1398088662">
    <w:abstractNumId w:val="38"/>
  </w:num>
  <w:num w:numId="17" w16cid:durableId="1980573060">
    <w:abstractNumId w:val="24"/>
  </w:num>
  <w:num w:numId="18" w16cid:durableId="1330600503">
    <w:abstractNumId w:val="0"/>
  </w:num>
  <w:num w:numId="19" w16cid:durableId="1764759719">
    <w:abstractNumId w:val="19"/>
  </w:num>
  <w:num w:numId="20" w16cid:durableId="561454449">
    <w:abstractNumId w:val="17"/>
  </w:num>
  <w:num w:numId="21" w16cid:durableId="320160497">
    <w:abstractNumId w:val="31"/>
  </w:num>
  <w:num w:numId="22" w16cid:durableId="1839880063">
    <w:abstractNumId w:val="11"/>
  </w:num>
  <w:num w:numId="23" w16cid:durableId="1942562764">
    <w:abstractNumId w:val="27"/>
  </w:num>
  <w:num w:numId="24" w16cid:durableId="1660377541">
    <w:abstractNumId w:val="7"/>
  </w:num>
  <w:num w:numId="25" w16cid:durableId="287246336">
    <w:abstractNumId w:val="25"/>
  </w:num>
  <w:num w:numId="26" w16cid:durableId="503131565">
    <w:abstractNumId w:val="28"/>
  </w:num>
  <w:num w:numId="27" w16cid:durableId="1349714797">
    <w:abstractNumId w:val="15"/>
  </w:num>
  <w:num w:numId="28" w16cid:durableId="1227424012">
    <w:abstractNumId w:val="36"/>
  </w:num>
  <w:num w:numId="29" w16cid:durableId="1019281649">
    <w:abstractNumId w:val="3"/>
  </w:num>
  <w:num w:numId="30" w16cid:durableId="866529328">
    <w:abstractNumId w:val="6"/>
  </w:num>
  <w:num w:numId="31" w16cid:durableId="802772312">
    <w:abstractNumId w:val="22"/>
  </w:num>
  <w:num w:numId="32" w16cid:durableId="1647315020">
    <w:abstractNumId w:val="4"/>
  </w:num>
  <w:num w:numId="33" w16cid:durableId="478959438">
    <w:abstractNumId w:val="5"/>
  </w:num>
  <w:num w:numId="34" w16cid:durableId="2041197750">
    <w:abstractNumId w:val="37"/>
  </w:num>
  <w:num w:numId="35" w16cid:durableId="1255746798">
    <w:abstractNumId w:val="18"/>
  </w:num>
  <w:num w:numId="36" w16cid:durableId="438379930">
    <w:abstractNumId w:val="33"/>
  </w:num>
  <w:num w:numId="37" w16cid:durableId="2019697252">
    <w:abstractNumId w:val="41"/>
  </w:num>
  <w:num w:numId="38" w16cid:durableId="1215317485">
    <w:abstractNumId w:val="40"/>
  </w:num>
  <w:num w:numId="39" w16cid:durableId="1217165272">
    <w:abstractNumId w:val="39"/>
  </w:num>
  <w:num w:numId="40" w16cid:durableId="1713380422">
    <w:abstractNumId w:val="2"/>
  </w:num>
  <w:num w:numId="41" w16cid:durableId="366563017">
    <w:abstractNumId w:val="10"/>
  </w:num>
  <w:num w:numId="42" w16cid:durableId="1936282579">
    <w:abstractNumId w:val="26"/>
  </w:num>
  <w:num w:numId="43" w16cid:durableId="730159971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50CA1"/>
    <w:rsid w:val="0005357A"/>
    <w:rsid w:val="00070627"/>
    <w:rsid w:val="00080F91"/>
    <w:rsid w:val="00081557"/>
    <w:rsid w:val="000A48D0"/>
    <w:rsid w:val="000B18F7"/>
    <w:rsid w:val="000C10B4"/>
    <w:rsid w:val="000F5E96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44EE7"/>
    <w:rsid w:val="00661EBB"/>
    <w:rsid w:val="0066242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16186"/>
    <w:rsid w:val="00B62BA7"/>
    <w:rsid w:val="00B70839"/>
    <w:rsid w:val="00B9664A"/>
    <w:rsid w:val="00BA4D11"/>
    <w:rsid w:val="00BC0686"/>
    <w:rsid w:val="00C24BC2"/>
    <w:rsid w:val="00C91974"/>
    <w:rsid w:val="00CB3D3F"/>
    <w:rsid w:val="00CB7AE3"/>
    <w:rsid w:val="00CE5978"/>
    <w:rsid w:val="00CF128B"/>
    <w:rsid w:val="00CF319A"/>
    <w:rsid w:val="00D0266E"/>
    <w:rsid w:val="00D11D16"/>
    <w:rsid w:val="00D851BC"/>
    <w:rsid w:val="00D953F3"/>
    <w:rsid w:val="00D9765C"/>
    <w:rsid w:val="00DC017B"/>
    <w:rsid w:val="00DF2A4D"/>
    <w:rsid w:val="00E00052"/>
    <w:rsid w:val="00E05C2E"/>
    <w:rsid w:val="00E146A5"/>
    <w:rsid w:val="00E27147"/>
    <w:rsid w:val="00E462E6"/>
    <w:rsid w:val="00E656A3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3</cp:revision>
  <dcterms:created xsi:type="dcterms:W3CDTF">2025-03-18T05:57:00Z</dcterms:created>
  <dcterms:modified xsi:type="dcterms:W3CDTF">2025-03-18T05:58:00Z</dcterms:modified>
</cp:coreProperties>
</file>