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00052" w:rsidRPr="00E4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proofErr w:type="gramStart"/>
      <w:r w:rsidR="00E00052" w:rsidRPr="00E4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E0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00052" w:rsidRPr="00E4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00052" w:rsidRPr="00E4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A2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E00052" w:rsidRPr="00E4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B66" w:rsidRPr="00AF5B66" w:rsidRDefault="000A48D0" w:rsidP="00E0005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</w:t>
      </w:r>
      <w:r w:rsidR="00EB1D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услуги в форме семинаров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(онлайн-трансляции</w:t>
      </w:r>
      <w:r w:rsidR="00CE5978"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r w:rsidR="0023187B"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D59" w:rsidRPr="007E6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00052" w:rsidRPr="00E0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Бухгалтерская и налоговая отчётность за 2023 год. Важные новшества 2024 года!</w:t>
      </w:r>
      <w:r w:rsidR="007E6D59" w:rsidRPr="007E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3187B"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5B66" w:rsidRPr="00AF5B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B66" w:rsidRPr="00AF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онлайн-трансляции ссылка доступа (на онлайн-трансляцию) направляется заказчику на указанный электронный адрес при регистрации, </w:t>
      </w:r>
    </w:p>
    <w:p w:rsidR="0023187B" w:rsidRPr="00AF5B66" w:rsidRDefault="0023187B" w:rsidP="00AF5B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7B" w:rsidRPr="0023187B" w:rsidRDefault="0023187B" w:rsidP="002318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AF5B66" w:rsidRDefault="000A48D0" w:rsidP="00A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</w:p>
    <w:p w:rsidR="00E00052" w:rsidRPr="00E00052" w:rsidRDefault="00E00052" w:rsidP="00E00052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  <w:shd w:val="clear" w:color="auto" w:fill="FFFFFF"/>
          <w:lang w:eastAsia="ru-RU"/>
        </w:rPr>
      </w:pPr>
      <w:r w:rsidRPr="00E00052">
        <w:rPr>
          <w:rFonts w:ascii="Calibri" w:eastAsia="Times New Roman" w:hAnsi="Calibri" w:cs="Calibri"/>
          <w:b/>
          <w:bCs/>
          <w:color w:val="0000CC"/>
          <w:sz w:val="24"/>
          <w:szCs w:val="24"/>
          <w:shd w:val="clear" w:color="auto" w:fill="FFFFFF"/>
          <w:lang w:eastAsia="ru-RU"/>
        </w:rPr>
        <w:t>1. Бухгалтерская (финансовая) отчетность за 2023 год. Ключевые новшества 2024г.</w:t>
      </w:r>
    </w:p>
    <w:p w:rsidR="00E00052" w:rsidRPr="00E00052" w:rsidRDefault="00E00052" w:rsidP="00E000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b/>
          <w:color w:val="000000"/>
          <w:sz w:val="21"/>
          <w:szCs w:val="21"/>
        </w:rPr>
        <w:t>Обзор рекомендаций Минфина</w:t>
      </w:r>
      <w:r w:rsidRPr="00E00052">
        <w:rPr>
          <w:rFonts w:ascii="Calibri" w:eastAsia="Calibri" w:hAnsi="Calibri" w:cs="Calibri"/>
          <w:color w:val="000000"/>
          <w:sz w:val="21"/>
          <w:szCs w:val="21"/>
        </w:rPr>
        <w:t xml:space="preserve"> России по  подготовке бухгалтерской отчетности  за 2023 год, а так же иных разъяснений МФ, в </w:t>
      </w:r>
      <w:proofErr w:type="spellStart"/>
      <w:r w:rsidRPr="00E00052">
        <w:rPr>
          <w:rFonts w:ascii="Calibri" w:eastAsia="Calibri" w:hAnsi="Calibri" w:cs="Calibri"/>
          <w:color w:val="000000"/>
          <w:sz w:val="21"/>
          <w:szCs w:val="21"/>
        </w:rPr>
        <w:t>т.ч</w:t>
      </w:r>
      <w:proofErr w:type="spellEnd"/>
      <w:r w:rsidRPr="00E00052">
        <w:rPr>
          <w:rFonts w:ascii="Calibri" w:eastAsia="Calibri" w:hAnsi="Calibri" w:cs="Calibri"/>
          <w:color w:val="000000"/>
          <w:sz w:val="21"/>
          <w:szCs w:val="21"/>
        </w:rPr>
        <w:t>. по цифровому рублю. Отражение  итогов инвентаризации.</w:t>
      </w:r>
    </w:p>
    <w:p w:rsidR="00E00052" w:rsidRPr="00E00052" w:rsidRDefault="00E00052" w:rsidP="00E000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Обязательный аудит отчетности: кто обязан проводить</w:t>
      </w:r>
      <w:proofErr w:type="gramStart"/>
      <w:r w:rsidRPr="00E00052">
        <w:rPr>
          <w:rFonts w:ascii="Calibri" w:eastAsia="Calibri" w:hAnsi="Calibri" w:cs="Calibri"/>
          <w:color w:val="000000"/>
          <w:sz w:val="21"/>
          <w:szCs w:val="21"/>
        </w:rPr>
        <w:t>..</w:t>
      </w:r>
      <w:proofErr w:type="gramEnd"/>
    </w:p>
    <w:p w:rsidR="00E00052" w:rsidRPr="00E00052" w:rsidRDefault="00E00052" w:rsidP="00E0005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 xml:space="preserve">Дополнения и изменения в Учетную политику и иные локальные акты  в связи с применением  </w:t>
      </w:r>
      <w:proofErr w:type="gramStart"/>
      <w:r w:rsidRPr="00E00052">
        <w:rPr>
          <w:rFonts w:ascii="Calibri" w:eastAsia="Calibri" w:hAnsi="Calibri" w:cs="Calibri"/>
          <w:color w:val="000000"/>
          <w:sz w:val="21"/>
          <w:szCs w:val="21"/>
        </w:rPr>
        <w:t>новых</w:t>
      </w:r>
      <w:proofErr w:type="gramEnd"/>
      <w:r w:rsidRPr="00E00052">
        <w:rPr>
          <w:rFonts w:ascii="Calibri" w:eastAsia="Calibri" w:hAnsi="Calibri" w:cs="Calibri"/>
          <w:color w:val="000000"/>
          <w:sz w:val="21"/>
          <w:szCs w:val="21"/>
        </w:rPr>
        <w:t xml:space="preserve"> ФСБУ.</w:t>
      </w:r>
    </w:p>
    <w:p w:rsidR="00E00052" w:rsidRPr="00E00052" w:rsidRDefault="00E00052" w:rsidP="00E0005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Переход на ФСБУ 14/2022 – только ключевые изменения. Различные варианты отражения последствий изменения Учетной политики в связи с началом применения  стандарта ( ретроспективный, упрощенный альтернативный и перспективный).</w:t>
      </w:r>
    </w:p>
    <w:p w:rsidR="00E00052" w:rsidRPr="00E00052" w:rsidRDefault="00E00052" w:rsidP="00E00052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  <w:shd w:val="clear" w:color="auto" w:fill="FFFFFF"/>
          <w:lang w:eastAsia="ru-RU"/>
        </w:rPr>
      </w:pPr>
      <w:r w:rsidRPr="00E00052">
        <w:rPr>
          <w:rFonts w:ascii="Calibri" w:eastAsia="Times New Roman" w:hAnsi="Calibri" w:cs="Calibri"/>
          <w:b/>
          <w:bCs/>
          <w:color w:val="0000CC"/>
          <w:sz w:val="24"/>
          <w:szCs w:val="24"/>
          <w:shd w:val="clear" w:color="auto" w:fill="FFFFFF"/>
          <w:lang w:eastAsia="ru-RU"/>
        </w:rPr>
        <w:t>2. Налоговое и неналоговое администрирование: зоны риска и важное для практики.</w:t>
      </w:r>
    </w:p>
    <w:p w:rsidR="00E00052" w:rsidRPr="00E00052" w:rsidRDefault="00E00052" w:rsidP="00E0005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CC"/>
          <w:sz w:val="24"/>
          <w:szCs w:val="24"/>
          <w:shd w:val="clear" w:color="auto" w:fill="FFFFFF"/>
          <w:lang w:eastAsia="ru-RU"/>
        </w:rPr>
      </w:pPr>
      <w:r w:rsidRPr="00E00052">
        <w:rPr>
          <w:rFonts w:ascii="Calibri" w:eastAsia="Times New Roman" w:hAnsi="Calibri" w:cs="Calibri"/>
          <w:b/>
          <w:bCs/>
          <w:color w:val="0000CC"/>
          <w:sz w:val="24"/>
          <w:szCs w:val="24"/>
          <w:shd w:val="clear" w:color="auto" w:fill="FFFFFF"/>
          <w:lang w:eastAsia="ru-RU"/>
        </w:rPr>
        <w:t>2.1.  Общие вопросы  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Основные итоги 2023г</w:t>
      </w:r>
      <w:proofErr w:type="gramStart"/>
      <w:r w:rsidRPr="00E00052">
        <w:rPr>
          <w:rFonts w:ascii="Calibri" w:eastAsia="Calibri" w:hAnsi="Calibri" w:cs="Times New Roman"/>
          <w:color w:val="000000"/>
          <w:sz w:val="21"/>
          <w:szCs w:val="21"/>
        </w:rPr>
        <w:t xml:space="preserve"> ,</w:t>
      </w:r>
      <w:proofErr w:type="gramEnd"/>
      <w:r w:rsidRPr="00E00052">
        <w:rPr>
          <w:rFonts w:ascii="Calibri" w:eastAsia="Calibri" w:hAnsi="Calibri" w:cs="Times New Roman"/>
          <w:color w:val="000000"/>
          <w:sz w:val="21"/>
          <w:szCs w:val="21"/>
        </w:rPr>
        <w:t xml:space="preserve"> возможные перспективы 2024г. Расширение системы страхования счетов и вкладов организаций.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Мораторий на внеплановые проверки продлили на 2024 год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НК и цифровой рубль: изменения внесены.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МЧД: утвердили новый формат электронной доверенности. Кто и когда должен оформить.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 xml:space="preserve">Какие  </w:t>
      </w:r>
      <w:proofErr w:type="gramStart"/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компании</w:t>
      </w:r>
      <w:proofErr w:type="gramEnd"/>
      <w:r w:rsidRPr="00E00052">
        <w:rPr>
          <w:rFonts w:ascii="Calibri" w:eastAsia="Calibri" w:hAnsi="Calibri" w:cs="Times New Roman"/>
          <w:color w:val="000000"/>
          <w:sz w:val="21"/>
          <w:szCs w:val="21"/>
        </w:rPr>
        <w:t xml:space="preserve"> и в </w:t>
      </w:r>
      <w:proofErr w:type="gramStart"/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каких</w:t>
      </w:r>
      <w:proofErr w:type="gramEnd"/>
      <w:r w:rsidRPr="00E00052">
        <w:rPr>
          <w:rFonts w:ascii="Calibri" w:eastAsia="Calibri" w:hAnsi="Calibri" w:cs="Times New Roman"/>
          <w:color w:val="000000"/>
          <w:sz w:val="21"/>
          <w:szCs w:val="21"/>
        </w:rPr>
        <w:t xml:space="preserve"> случаях должны извещать ФНС  о стоимости  оказанных услуг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Новые основания для исключения из ЕГРЮЛ по инициативе регистрирующего органа  и последствия такового.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С 2024г дополнен перечень оснований для блокировки ФНС операций по счетам.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Декабрьский закон легализовал межведомственные комиссии  (зарплатные комиссии). Ведение черного списка работодателей через формирование  государственного общедоступного реестра работодателей, у которых выявлены факты теневой занятости. Риски организаций и ИП  - на что обратить внимание.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Законодательные изменения в признаках  взаимозависимости и новые основания у ФНС контролировать цены</w:t>
      </w:r>
    </w:p>
    <w:p w:rsidR="00E00052" w:rsidRPr="00E00052" w:rsidRDefault="00E00052" w:rsidP="00E000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color w:val="000000"/>
          <w:sz w:val="21"/>
          <w:szCs w:val="21"/>
        </w:rPr>
      </w:pPr>
      <w:r w:rsidRPr="00E00052">
        <w:rPr>
          <w:rFonts w:ascii="Calibri" w:eastAsia="Calibri" w:hAnsi="Calibri" w:cs="Times New Roman"/>
          <w:color w:val="000000"/>
          <w:sz w:val="21"/>
          <w:szCs w:val="21"/>
        </w:rPr>
        <w:t>Скорректированы правила прослеживаемости товаров.</w:t>
      </w:r>
    </w:p>
    <w:p w:rsidR="00E00052" w:rsidRPr="00E00052" w:rsidRDefault="00E00052" w:rsidP="00E00052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E0005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2.2.  Особенности работы с ЕНС в 2024г</w:t>
      </w:r>
    </w:p>
    <w:p w:rsidR="00E00052" w:rsidRPr="00E00052" w:rsidRDefault="00E00052" w:rsidP="00E00052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E00052" w:rsidRPr="00E00052" w:rsidRDefault="00E00052" w:rsidP="00E00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Важно! </w:t>
      </w:r>
      <w:r w:rsidRPr="00E00052">
        <w:rPr>
          <w:rFonts w:ascii="Calibri" w:eastAsia="Times New Roman" w:hAnsi="Calibri" w:cs="Calibri"/>
          <w:b/>
          <w:color w:val="000000"/>
          <w:sz w:val="21"/>
          <w:szCs w:val="21"/>
          <w:lang w:eastAsia="ru-RU"/>
        </w:rPr>
        <w:t>Изменения с 2024г в части  уплаты</w:t>
      </w:r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налогов и сборов (платежи с кодом 02 отменили, новшества в части уплаты НДФЛ). Порядок определения принадлежности платежа. Резервирование согласно ст 78 НК.</w:t>
      </w:r>
    </w:p>
    <w:p w:rsidR="00E00052" w:rsidRPr="00E00052" w:rsidRDefault="00E00052" w:rsidP="00E00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Изменения в подаче Уведомлений в 2024г:  по каким </w:t>
      </w:r>
      <w:proofErr w:type="gramStart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налогам</w:t>
      </w:r>
      <w:proofErr w:type="gramEnd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и в </w:t>
      </w:r>
      <w:proofErr w:type="gramStart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какие</w:t>
      </w:r>
      <w:proofErr w:type="gramEnd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сроки.  Два обязательных уведомления по НДФЛ с 2024г. Контрольные соотношения и последствия их несоблюдения. Отрицательные уведомления.</w:t>
      </w:r>
    </w:p>
    <w:p w:rsidR="00E00052" w:rsidRPr="00E00052" w:rsidRDefault="00E00052" w:rsidP="00E00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 xml:space="preserve">Мораторий на </w:t>
      </w:r>
      <w:proofErr w:type="gramStart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пени</w:t>
      </w:r>
      <w:proofErr w:type="gramEnd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продлен: в </w:t>
      </w:r>
      <w:proofErr w:type="gramStart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каких</w:t>
      </w:r>
      <w:proofErr w:type="gramEnd"/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случаях действует норма.</w:t>
      </w:r>
    </w:p>
    <w:p w:rsidR="00E00052" w:rsidRPr="00E00052" w:rsidRDefault="00E00052" w:rsidP="00E00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Внимание: ФНС об исключении платежа из сальдо ЕНС. Первая судебная практика по отказу ФНС от возврата положительного сальдо на ЕНС!</w:t>
      </w:r>
    </w:p>
    <w:p w:rsidR="00E00052" w:rsidRPr="00E00052" w:rsidRDefault="00E00052" w:rsidP="00E00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ФНС разъяснила случаи освобождения от штрафов при подаче  уточненных  деклараций</w:t>
      </w:r>
    </w:p>
    <w:p w:rsidR="00E00052" w:rsidRPr="00E00052" w:rsidRDefault="00E00052" w:rsidP="00E00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0005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Разъяснения  ФНС о порядке зачета положительного  сальдо  ЕНС в счет предстоящей уплаты налога на прибыль</w:t>
      </w:r>
    </w:p>
    <w:p w:rsidR="00E00052" w:rsidRPr="00E00052" w:rsidRDefault="00E00052" w:rsidP="00E00052">
      <w:pPr>
        <w:spacing w:after="0" w:line="240" w:lineRule="atLeast"/>
        <w:ind w:left="644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00052" w:rsidRPr="00E00052" w:rsidRDefault="00E00052" w:rsidP="00E0005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E0005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2.3. «Зарплатные» налоги и сборы:</w:t>
      </w:r>
    </w:p>
    <w:p w:rsidR="00E00052" w:rsidRPr="00E00052" w:rsidRDefault="00E00052" w:rsidP="00E000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b/>
          <w:color w:val="000000"/>
          <w:sz w:val="21"/>
          <w:szCs w:val="21"/>
        </w:rPr>
        <w:t>Новое в администрировании</w:t>
      </w:r>
      <w:r w:rsidRPr="00E00052">
        <w:rPr>
          <w:rFonts w:ascii="Calibri" w:eastAsia="Calibri" w:hAnsi="Calibri" w:cs="Calibri"/>
          <w:color w:val="000000"/>
          <w:sz w:val="21"/>
          <w:szCs w:val="21"/>
        </w:rPr>
        <w:t xml:space="preserve"> НДФЛ с 2024г (увеличение количества уведомлений и платежей, изменение отчетности, отражение на ЕНС): как применять на практике, </w:t>
      </w:r>
      <w:r w:rsidRPr="00E00052">
        <w:rPr>
          <w:rFonts w:ascii="Calibri" w:eastAsia="Calibri" w:hAnsi="Calibri" w:cs="Calibri"/>
          <w:b/>
          <w:color w:val="000000"/>
          <w:sz w:val="21"/>
          <w:szCs w:val="21"/>
        </w:rPr>
        <w:t>важные моменты</w:t>
      </w:r>
      <w:r w:rsidRPr="00E00052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E00052" w:rsidRPr="00E00052" w:rsidRDefault="00E00052" w:rsidP="00E000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Изменения в расчете НДФЛ с 2024г:</w:t>
      </w:r>
    </w:p>
    <w:p w:rsidR="00E00052" w:rsidRPr="00E00052" w:rsidRDefault="00E00052" w:rsidP="00E00052">
      <w:pPr>
        <w:spacing w:before="100" w:beforeAutospacing="1" w:after="100" w:afterAutospacing="1" w:line="240" w:lineRule="atLeast"/>
        <w:ind w:left="851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 xml:space="preserve">- установление новых  нормативов по необлагаемым  выплатам </w:t>
      </w:r>
    </w:p>
    <w:p w:rsidR="00E00052" w:rsidRPr="00E00052" w:rsidRDefault="00E00052" w:rsidP="00E00052">
      <w:pPr>
        <w:spacing w:before="100" w:beforeAutospacing="1" w:after="100" w:afterAutospacing="1" w:line="240" w:lineRule="atLeast"/>
        <w:ind w:left="851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- расчет НДФЛ с совокупной базы</w:t>
      </w:r>
    </w:p>
    <w:p w:rsidR="00E00052" w:rsidRPr="00E00052" w:rsidRDefault="00E00052" w:rsidP="00E00052">
      <w:pPr>
        <w:spacing w:before="100" w:beforeAutospacing="1" w:after="100" w:afterAutospacing="1" w:line="240" w:lineRule="atLeast"/>
        <w:ind w:left="851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- НДФЛ с материальной выгоды</w:t>
      </w:r>
    </w:p>
    <w:p w:rsidR="00E00052" w:rsidRPr="00E00052" w:rsidRDefault="00E00052" w:rsidP="00E00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709" w:hanging="283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6-НДФЛ: как отчитаться за 2023г и что нового с 2024г</w:t>
      </w:r>
    </w:p>
    <w:p w:rsidR="00E00052" w:rsidRPr="00E00052" w:rsidRDefault="00E00052" w:rsidP="00E00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709" w:hanging="283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Отчетность в СФР. Изменения, внесенные в порядок заполнения формы ЕФС-1 с 1 января 2024 года</w:t>
      </w:r>
    </w:p>
    <w:p w:rsidR="00E00052" w:rsidRPr="00E00052" w:rsidRDefault="00E00052" w:rsidP="00E00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709" w:hanging="283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Страховые взносы</w:t>
      </w:r>
      <w:proofErr w:type="gramStart"/>
      <w:r w:rsidRPr="00E00052">
        <w:rPr>
          <w:rFonts w:ascii="Calibri" w:eastAsia="Calibri" w:hAnsi="Calibri" w:cs="Calibri"/>
          <w:color w:val="000000"/>
          <w:sz w:val="21"/>
          <w:szCs w:val="21"/>
        </w:rPr>
        <w:t xml:space="preserve"> :</w:t>
      </w:r>
      <w:proofErr w:type="gramEnd"/>
      <w:r w:rsidRPr="00E00052">
        <w:rPr>
          <w:rFonts w:ascii="Calibri" w:eastAsia="Calibri" w:hAnsi="Calibri" w:cs="Calibri"/>
          <w:color w:val="000000"/>
          <w:sz w:val="21"/>
          <w:szCs w:val="21"/>
        </w:rPr>
        <w:t xml:space="preserve"> уточнение необлагаемых выплат, расширение перечня застрахованных лиц. Изменения в РСВ.</w:t>
      </w:r>
    </w:p>
    <w:p w:rsidR="00E00052" w:rsidRPr="00E00052" w:rsidRDefault="00E00052" w:rsidP="00E00052">
      <w:pPr>
        <w:spacing w:before="100" w:beforeAutospacing="1" w:after="100" w:afterAutospacing="1" w:line="240" w:lineRule="atLeast"/>
        <w:ind w:left="851"/>
        <w:contextualSpacing/>
        <w:rPr>
          <w:rFonts w:ascii="Calibri" w:eastAsia="Calibri" w:hAnsi="Calibri" w:cs="Calibri"/>
          <w:color w:val="000000"/>
        </w:rPr>
      </w:pPr>
    </w:p>
    <w:p w:rsidR="00E00052" w:rsidRPr="00E00052" w:rsidRDefault="00E00052" w:rsidP="00E00052">
      <w:pPr>
        <w:spacing w:before="100" w:beforeAutospacing="1" w:after="100" w:afterAutospacing="1" w:line="240" w:lineRule="atLeast"/>
        <w:ind w:left="720" w:hanging="720"/>
        <w:contextualSpacing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E0005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2.4. Налог на прибыль: изменения и практика применения</w:t>
      </w:r>
    </w:p>
    <w:p w:rsidR="00E00052" w:rsidRPr="00E00052" w:rsidRDefault="00E00052" w:rsidP="00E00052">
      <w:pPr>
        <w:spacing w:before="100" w:beforeAutospacing="1" w:after="100" w:afterAutospacing="1" w:line="240" w:lineRule="atLeast"/>
        <w:ind w:left="720"/>
        <w:contextualSpacing/>
        <w:rPr>
          <w:rFonts w:ascii="Calibri" w:eastAsia="Calibri" w:hAnsi="Calibri" w:cs="Calibri"/>
          <w:b/>
          <w:bCs/>
          <w:color w:val="000000"/>
        </w:rPr>
      </w:pPr>
    </w:p>
    <w:p w:rsidR="00E00052" w:rsidRPr="00E00052" w:rsidRDefault="00E00052" w:rsidP="00E0005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bCs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>Декларация по налогу на прибыль</w:t>
      </w:r>
      <w:proofErr w:type="gramStart"/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 xml:space="preserve"> .</w:t>
      </w:r>
      <w:proofErr w:type="gramEnd"/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 xml:space="preserve"> На что обратить внимание: судебная практика и разъяснения ФНС и МФ. Отдельные вопросы налогообложения (резерв по сомнительным долгам</w:t>
      </w:r>
      <w:proofErr w:type="gramStart"/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 xml:space="preserve"> ,</w:t>
      </w:r>
      <w:proofErr w:type="gramEnd"/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 xml:space="preserve"> убытки и др.)</w:t>
      </w:r>
    </w:p>
    <w:p w:rsidR="00E00052" w:rsidRPr="00E00052" w:rsidRDefault="00E00052" w:rsidP="00E0005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bCs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>2024г: разбор изменений    по налогу на прибыль</w:t>
      </w:r>
      <w:proofErr w:type="gramStart"/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 xml:space="preserve"> .</w:t>
      </w:r>
      <w:proofErr w:type="gramEnd"/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 xml:space="preserve"> </w:t>
      </w:r>
    </w:p>
    <w:p w:rsidR="00E00052" w:rsidRPr="00E00052" w:rsidRDefault="00E00052" w:rsidP="00E0005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bCs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bCs/>
          <w:color w:val="000000"/>
          <w:sz w:val="21"/>
          <w:szCs w:val="21"/>
        </w:rPr>
        <w:t>Новшества по НМА.</w:t>
      </w:r>
    </w:p>
    <w:p w:rsidR="00E00052" w:rsidRPr="00E00052" w:rsidRDefault="00E00052" w:rsidP="00E00052">
      <w:pPr>
        <w:spacing w:after="0" w:line="240" w:lineRule="atLeast"/>
        <w:ind w:left="720"/>
        <w:contextualSpacing/>
        <w:rPr>
          <w:rFonts w:ascii="Calibri" w:eastAsia="Calibri" w:hAnsi="Calibri" w:cs="Calibri"/>
          <w:color w:val="000000"/>
        </w:rPr>
      </w:pPr>
    </w:p>
    <w:p w:rsidR="00E00052" w:rsidRPr="00E00052" w:rsidRDefault="00E00052" w:rsidP="00E00052">
      <w:pPr>
        <w:spacing w:before="100" w:beforeAutospacing="1" w:after="100" w:afterAutospacing="1" w:line="240" w:lineRule="atLeast"/>
        <w:ind w:left="720" w:hanging="720"/>
        <w:contextualSpacing/>
        <w:rPr>
          <w:rFonts w:ascii="Calibri" w:eastAsia="Calibri" w:hAnsi="Calibri" w:cs="Calibri"/>
          <w:b/>
          <w:color w:val="000000"/>
        </w:rPr>
      </w:pPr>
      <w:r w:rsidRPr="00E0005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2.5. НДС: новеллы, практика исчисления</w:t>
      </w:r>
    </w:p>
    <w:p w:rsidR="00E00052" w:rsidRPr="00E00052" w:rsidRDefault="00E00052" w:rsidP="00E00052">
      <w:pPr>
        <w:spacing w:before="100" w:beforeAutospacing="1" w:after="100" w:afterAutospacing="1" w:line="240" w:lineRule="atLeast"/>
        <w:ind w:left="720"/>
        <w:contextualSpacing/>
        <w:rPr>
          <w:rFonts w:ascii="Calibri" w:eastAsia="Calibri" w:hAnsi="Calibri" w:cs="Calibri"/>
          <w:color w:val="000000"/>
        </w:rPr>
      </w:pPr>
    </w:p>
    <w:p w:rsidR="00E00052" w:rsidRPr="00E00052" w:rsidRDefault="00E00052" w:rsidP="00E000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Обзор изменений по НДС в 2024г (уточнен порядок  уплаты НДС при ввозе в РФ с территории государств-членов ЕАЭС на основании посреднических договоров,  подтверждение экспорта товара, определение НБ при неподтвержденном экспорте,  возмещение НДС в заявительном порядке и др.)</w:t>
      </w:r>
    </w:p>
    <w:p w:rsidR="00E00052" w:rsidRPr="00E00052" w:rsidRDefault="00E00052" w:rsidP="00E000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  <w:sz w:val="21"/>
          <w:szCs w:val="21"/>
        </w:rPr>
      </w:pPr>
      <w:r w:rsidRPr="00E00052">
        <w:rPr>
          <w:rFonts w:ascii="Calibri" w:eastAsia="Calibri" w:hAnsi="Calibri" w:cs="Calibri"/>
          <w:color w:val="000000"/>
          <w:sz w:val="21"/>
          <w:szCs w:val="21"/>
        </w:rPr>
        <w:t>Судебная практика.</w:t>
      </w:r>
    </w:p>
    <w:p w:rsidR="00E00052" w:rsidRPr="00E00052" w:rsidRDefault="00E00052" w:rsidP="00E0005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005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2.6.  </w:t>
      </w:r>
      <w:r w:rsidRPr="00E0005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Прочие вопросы:</w:t>
      </w:r>
    </w:p>
    <w:p w:rsidR="00E00052" w:rsidRPr="00E00052" w:rsidRDefault="00E00052" w:rsidP="00E00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E00052">
        <w:rPr>
          <w:rFonts w:ascii="Calibri" w:eastAsia="Calibri" w:hAnsi="Calibri" w:cs="Calibri"/>
          <w:color w:val="000000"/>
        </w:rPr>
        <w:t>Имущественные налоги: новшества в исчислении</w:t>
      </w:r>
      <w:proofErr w:type="gramStart"/>
      <w:r w:rsidRPr="00E00052">
        <w:rPr>
          <w:rFonts w:ascii="Calibri" w:eastAsia="Calibri" w:hAnsi="Calibri" w:cs="Calibri"/>
          <w:color w:val="000000"/>
        </w:rPr>
        <w:t xml:space="preserve"> .</w:t>
      </w:r>
      <w:proofErr w:type="gramEnd"/>
      <w:r w:rsidRPr="00E00052">
        <w:rPr>
          <w:rFonts w:ascii="Calibri" w:eastAsia="Calibri" w:hAnsi="Calibri" w:cs="Calibri"/>
          <w:color w:val="000000"/>
        </w:rPr>
        <w:t xml:space="preserve"> Отчетность, уведомления.</w:t>
      </w:r>
    </w:p>
    <w:p w:rsidR="007E6D59" w:rsidRPr="007E6D59" w:rsidRDefault="007E6D59" w:rsidP="00FD04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Форма оказания услуг: онлайн-трансляция, очное занятие. </w:t>
      </w: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оказания Услуг по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настоящему Договору: «    </w:t>
      </w:r>
      <w:r w:rsidR="00E00052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E00052"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была предоставлена ссылка доступа к трансляции и онлайн-трансляция мероприятия Исполнителем был</w:t>
      </w:r>
      <w:r w:rsidR="002318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86" w:type="dxa"/>
        <w:tblInd w:w="87" w:type="dxa"/>
        <w:tblLook w:val="04A0" w:firstRow="1" w:lastRow="0" w:firstColumn="1" w:lastColumn="0" w:noHBand="0" w:noVBand="1"/>
      </w:tblPr>
      <w:tblGrid>
        <w:gridCol w:w="4853"/>
        <w:gridCol w:w="5233"/>
      </w:tblGrid>
      <w:tr w:rsidR="000A48D0" w:rsidRPr="000A48D0" w:rsidTr="007E6D59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  <w:r w:rsidR="007E6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233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7E6D59" w:rsidRDefault="007E6D59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7E6D59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7E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АКТ №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7E6D59">
          <w:type w:val="continuous"/>
          <w:pgSz w:w="11909" w:h="16834" w:code="9"/>
          <w:pgMar w:top="249" w:right="709" w:bottom="568" w:left="427" w:header="720" w:footer="0" w:gutter="0"/>
          <w:cols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00052" w:rsidRPr="00E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proofErr w:type="gramStart"/>
      <w:r w:rsidR="00E00052" w:rsidRPr="00E0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E00052" w:rsidRPr="00E0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FD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E00052" w:rsidRPr="00E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E00052" w:rsidRPr="00E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E00052" w:rsidRPr="00E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62E6">
        <w:rPr>
          <w:rFonts w:ascii="Times New Roman" w:eastAsia="Times New Roman" w:hAnsi="Times New Roman" w:cs="Times New Roman"/>
          <w:color w:val="000000"/>
          <w:lang w:val="en-US" w:eastAsia="ru-RU"/>
        </w:rPr>
        <w:t>___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E462E6">
        <w:rPr>
          <w:rFonts w:ascii="Times New Roman" w:eastAsia="Times New Roman" w:hAnsi="Times New Roman" w:cs="Times New Roman"/>
          <w:color w:val="000000"/>
          <w:lang w:val="en-US" w:eastAsia="ru-RU"/>
        </w:rPr>
        <w:t>4</w:t>
      </w:r>
      <w:bookmarkStart w:id="0" w:name="_GoBack"/>
      <w:bookmarkEnd w:id="0"/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«____»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 202</w:t>
      </w:r>
      <w:r w:rsidR="00E00052" w:rsidRPr="00E0005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Заказчику информационно-консультационные услуги в форме </w:t>
      </w:r>
      <w:r w:rsidR="00FA66A0">
        <w:rPr>
          <w:rFonts w:ascii="Times New Roman" w:eastAsia="Times New Roman" w:hAnsi="Times New Roman" w:cs="Times New Roman"/>
          <w:color w:val="000000"/>
          <w:lang w:eastAsia="ru-RU"/>
        </w:rPr>
        <w:t>семинаров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(онла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йн-трансляции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по теме: </w:t>
      </w:r>
      <w:r w:rsidR="007E6D59" w:rsidRPr="007E6D5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3C06BD" w:rsidRPr="003C06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Бухгалтерская и налоговая отчётность за 2023 год. Важные новшества 2024 года!</w:t>
      </w:r>
      <w:r w:rsidR="007E6D59"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7E6D5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10184" w:rsidRDefault="00110184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тавляет:     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897E09" w:rsidRDefault="00897E09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0A48D0" w:rsidRPr="000A48D0" w:rsidTr="007E6D59">
        <w:trPr>
          <w:trHeight w:val="4410"/>
        </w:trPr>
        <w:tc>
          <w:tcPr>
            <w:tcW w:w="538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4961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7E6D59">
          <w:type w:val="continuous"/>
          <w:pgSz w:w="11909" w:h="16834" w:code="9"/>
          <w:pgMar w:top="70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73" w:rsidRDefault="00F55D73">
      <w:pPr>
        <w:spacing w:after="0" w:line="240" w:lineRule="auto"/>
      </w:pPr>
      <w:r>
        <w:separator/>
      </w:r>
    </w:p>
  </w:endnote>
  <w:endnote w:type="continuationSeparator" w:id="0">
    <w:p w:rsidR="00F55D73" w:rsidRDefault="00F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73" w:rsidRDefault="00F55D73">
      <w:pPr>
        <w:spacing w:after="0" w:line="240" w:lineRule="auto"/>
      </w:pPr>
      <w:r>
        <w:separator/>
      </w:r>
    </w:p>
  </w:footnote>
  <w:footnote w:type="continuationSeparator" w:id="0">
    <w:p w:rsidR="00F55D73" w:rsidRDefault="00F5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F55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17B"/>
    <w:multiLevelType w:val="hybridMultilevel"/>
    <w:tmpl w:val="3DBE06A8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4610"/>
    <w:multiLevelType w:val="hybridMultilevel"/>
    <w:tmpl w:val="244247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A1FC9"/>
    <w:multiLevelType w:val="multilevel"/>
    <w:tmpl w:val="9656E2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" w:hanging="1440"/>
      </w:pPr>
      <w:rPr>
        <w:rFonts w:hint="default"/>
      </w:rPr>
    </w:lvl>
  </w:abstractNum>
  <w:abstractNum w:abstractNumId="7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0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58661A"/>
    <w:multiLevelType w:val="hybridMultilevel"/>
    <w:tmpl w:val="97644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63241"/>
    <w:multiLevelType w:val="hybridMultilevel"/>
    <w:tmpl w:val="53347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0592A"/>
    <w:multiLevelType w:val="hybridMultilevel"/>
    <w:tmpl w:val="B2BA02D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18"/>
  </w:num>
  <w:num w:numId="6">
    <w:abstractNumId w:val="3"/>
  </w:num>
  <w:num w:numId="7">
    <w:abstractNumId w:val="13"/>
  </w:num>
  <w:num w:numId="8">
    <w:abstractNumId w:val="19"/>
  </w:num>
  <w:num w:numId="9">
    <w:abstractNumId w:val="4"/>
  </w:num>
  <w:num w:numId="10">
    <w:abstractNumId w:val="8"/>
  </w:num>
  <w:num w:numId="11">
    <w:abstractNumId w:val="6"/>
  </w:num>
  <w:num w:numId="12">
    <w:abstractNumId w:val="24"/>
  </w:num>
  <w:num w:numId="13">
    <w:abstractNumId w:val="22"/>
  </w:num>
  <w:num w:numId="14">
    <w:abstractNumId w:val="21"/>
  </w:num>
  <w:num w:numId="15">
    <w:abstractNumId w:val="14"/>
  </w:num>
  <w:num w:numId="16">
    <w:abstractNumId w:val="23"/>
  </w:num>
  <w:num w:numId="17">
    <w:abstractNumId w:val="15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  <w:num w:numId="22">
    <w:abstractNumId w:val="5"/>
  </w:num>
  <w:num w:numId="23">
    <w:abstractNumId w:val="17"/>
  </w:num>
  <w:num w:numId="24">
    <w:abstractNumId w:val="2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80F91"/>
    <w:rsid w:val="00081557"/>
    <w:rsid w:val="000A48D0"/>
    <w:rsid w:val="000B18F7"/>
    <w:rsid w:val="000C10B4"/>
    <w:rsid w:val="001063D7"/>
    <w:rsid w:val="00106AFE"/>
    <w:rsid w:val="00110184"/>
    <w:rsid w:val="0015313F"/>
    <w:rsid w:val="001544D1"/>
    <w:rsid w:val="00170E40"/>
    <w:rsid w:val="001B5C69"/>
    <w:rsid w:val="001C654D"/>
    <w:rsid w:val="0023187B"/>
    <w:rsid w:val="00231C55"/>
    <w:rsid w:val="00242C6A"/>
    <w:rsid w:val="00250D2B"/>
    <w:rsid w:val="002764C9"/>
    <w:rsid w:val="002859CD"/>
    <w:rsid w:val="002A0D2B"/>
    <w:rsid w:val="002A1890"/>
    <w:rsid w:val="002A252C"/>
    <w:rsid w:val="002C3A9F"/>
    <w:rsid w:val="00300019"/>
    <w:rsid w:val="00314F63"/>
    <w:rsid w:val="00326206"/>
    <w:rsid w:val="0035348B"/>
    <w:rsid w:val="00387E2C"/>
    <w:rsid w:val="003C06BD"/>
    <w:rsid w:val="003C73A8"/>
    <w:rsid w:val="003E6D9C"/>
    <w:rsid w:val="003F3141"/>
    <w:rsid w:val="004C5599"/>
    <w:rsid w:val="00507D7C"/>
    <w:rsid w:val="0054247C"/>
    <w:rsid w:val="00556762"/>
    <w:rsid w:val="005B232F"/>
    <w:rsid w:val="005E7BDE"/>
    <w:rsid w:val="00644EE7"/>
    <w:rsid w:val="00661EBB"/>
    <w:rsid w:val="00676C06"/>
    <w:rsid w:val="006A3A10"/>
    <w:rsid w:val="00700423"/>
    <w:rsid w:val="00710648"/>
    <w:rsid w:val="0074036B"/>
    <w:rsid w:val="007725D3"/>
    <w:rsid w:val="007C0F26"/>
    <w:rsid w:val="007E6D59"/>
    <w:rsid w:val="00871136"/>
    <w:rsid w:val="00890044"/>
    <w:rsid w:val="00897E09"/>
    <w:rsid w:val="008A11BB"/>
    <w:rsid w:val="008C3AE3"/>
    <w:rsid w:val="00933089"/>
    <w:rsid w:val="00984385"/>
    <w:rsid w:val="009C7253"/>
    <w:rsid w:val="00A223D1"/>
    <w:rsid w:val="00A24ED0"/>
    <w:rsid w:val="00AF5B66"/>
    <w:rsid w:val="00AF74A0"/>
    <w:rsid w:val="00B07FE2"/>
    <w:rsid w:val="00B12F10"/>
    <w:rsid w:val="00B62BA7"/>
    <w:rsid w:val="00B70839"/>
    <w:rsid w:val="00B9664A"/>
    <w:rsid w:val="00BA4D11"/>
    <w:rsid w:val="00BC0686"/>
    <w:rsid w:val="00C24BC2"/>
    <w:rsid w:val="00CB7AE3"/>
    <w:rsid w:val="00CE5978"/>
    <w:rsid w:val="00CF128B"/>
    <w:rsid w:val="00D0266E"/>
    <w:rsid w:val="00D11D16"/>
    <w:rsid w:val="00D851BC"/>
    <w:rsid w:val="00D953F3"/>
    <w:rsid w:val="00D9765C"/>
    <w:rsid w:val="00DF2A4D"/>
    <w:rsid w:val="00E00052"/>
    <w:rsid w:val="00E05C2E"/>
    <w:rsid w:val="00E146A5"/>
    <w:rsid w:val="00E462E6"/>
    <w:rsid w:val="00E818F6"/>
    <w:rsid w:val="00E96B32"/>
    <w:rsid w:val="00EB1DA0"/>
    <w:rsid w:val="00ED3C69"/>
    <w:rsid w:val="00EF2450"/>
    <w:rsid w:val="00EF6F57"/>
    <w:rsid w:val="00F26F22"/>
    <w:rsid w:val="00F55D73"/>
    <w:rsid w:val="00F839F7"/>
    <w:rsid w:val="00FA4E85"/>
    <w:rsid w:val="00FA66A0"/>
    <w:rsid w:val="00FA6AD1"/>
    <w:rsid w:val="00FD04FE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2024-01-17T12:49:00Z</dcterms:created>
  <dcterms:modified xsi:type="dcterms:W3CDTF">2024-01-17T12:54:00Z</dcterms:modified>
</cp:coreProperties>
</file>