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AF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25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7E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r w:rsidR="00825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E0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00052" w:rsidRPr="00825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00052" w:rsidRPr="00825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A2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E00052" w:rsidRPr="00825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B66" w:rsidRPr="0031451C" w:rsidRDefault="000A48D0" w:rsidP="003145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451C">
        <w:rPr>
          <w:rFonts w:ascii="Times New Roman" w:eastAsia="Times New Roman" w:hAnsi="Times New Roman" w:cs="Times New Roman"/>
          <w:lang w:eastAsia="ru-RU"/>
        </w:rPr>
        <w:t xml:space="preserve">На основании настоящего договора </w:t>
      </w:r>
      <w:r w:rsidRPr="0031451C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31451C">
        <w:rPr>
          <w:rFonts w:ascii="Times New Roman" w:eastAsia="Times New Roman" w:hAnsi="Times New Roman" w:cs="Times New Roman"/>
          <w:lang w:eastAsia="ru-RU"/>
        </w:rPr>
        <w:t xml:space="preserve"> принимает на себя обязательство организовать и  оказать информационно-консульта</w:t>
      </w:r>
      <w:r w:rsidR="00EB1DA0" w:rsidRPr="0031451C">
        <w:rPr>
          <w:rFonts w:ascii="Times New Roman" w:eastAsia="Times New Roman" w:hAnsi="Times New Roman" w:cs="Times New Roman"/>
          <w:lang w:eastAsia="ru-RU"/>
        </w:rPr>
        <w:t>ционные услуги в форме семинаров</w:t>
      </w:r>
      <w:r w:rsidRPr="00314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184" w:rsidRPr="0031451C">
        <w:rPr>
          <w:rFonts w:ascii="Times New Roman" w:eastAsia="Times New Roman" w:hAnsi="Times New Roman" w:cs="Times New Roman"/>
          <w:lang w:eastAsia="ru-RU"/>
        </w:rPr>
        <w:t xml:space="preserve"> (онлайн-трансляции</w:t>
      </w:r>
      <w:r w:rsidR="00CE5978" w:rsidRPr="0031451C">
        <w:rPr>
          <w:rFonts w:ascii="Times New Roman" w:eastAsia="Times New Roman" w:hAnsi="Times New Roman" w:cs="Times New Roman"/>
          <w:lang w:eastAsia="ru-RU"/>
        </w:rPr>
        <w:t>)</w:t>
      </w:r>
      <w:r w:rsidRPr="003145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451C">
        <w:rPr>
          <w:rFonts w:ascii="Times New Roman" w:eastAsia="Times New Roman" w:hAnsi="Times New Roman" w:cs="Times New Roman"/>
          <w:b/>
          <w:lang w:eastAsia="ru-RU"/>
        </w:rPr>
        <w:t>по теме</w:t>
      </w:r>
      <w:r w:rsidR="0023187B" w:rsidRPr="003145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6D59" w:rsidRPr="0031451C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7E6D59" w:rsidRPr="0031451C">
        <w:rPr>
          <w:rFonts w:ascii="Times New Roman" w:eastAsia="Times New Roman" w:hAnsi="Times New Roman" w:cs="Times New Roman"/>
          <w:b/>
          <w:lang w:eastAsia="ru-RU"/>
        </w:rPr>
        <w:t>»</w:t>
      </w:r>
      <w:r w:rsidR="0031451C" w:rsidRPr="0031451C">
        <w:rPr>
          <w:rFonts w:ascii="Times New Roman" w:eastAsia="Times New Roman" w:hAnsi="Times New Roman" w:cs="Times New Roman"/>
          <w:b/>
          <w:lang w:eastAsia="ru-RU"/>
        </w:rPr>
        <w:t>УСН: отчётность за 2023 год. Важные новшества 2024 года</w:t>
      </w:r>
      <w:proofErr w:type="gramStart"/>
      <w:r w:rsidR="0031451C" w:rsidRPr="0031451C">
        <w:rPr>
          <w:rFonts w:ascii="Times New Roman" w:eastAsia="Times New Roman" w:hAnsi="Times New Roman" w:cs="Times New Roman"/>
          <w:b/>
          <w:lang w:eastAsia="ru-RU"/>
        </w:rPr>
        <w:t>!</w:t>
      </w:r>
      <w:r w:rsidR="0023187B" w:rsidRPr="0031451C">
        <w:rPr>
          <w:rFonts w:ascii="Times New Roman" w:eastAsia="Times New Roman" w:hAnsi="Times New Roman" w:cs="Times New Roman"/>
          <w:b/>
          <w:lang w:eastAsia="ru-RU"/>
        </w:rPr>
        <w:t>.</w:t>
      </w:r>
      <w:r w:rsidR="00AF5B66" w:rsidRPr="003145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AF5B66" w:rsidRPr="0031451C">
        <w:rPr>
          <w:rFonts w:ascii="Times New Roman" w:eastAsia="Times New Roman" w:hAnsi="Times New Roman" w:cs="Times New Roman"/>
          <w:lang w:eastAsia="ru-RU"/>
        </w:rPr>
        <w:t xml:space="preserve">В случае онлайн-трансляции ссылка доступа (на онлайн-трансляцию) направляется заказчику на указанный электронный адрес при регистрации, </w:t>
      </w:r>
    </w:p>
    <w:p w:rsidR="0023187B" w:rsidRPr="00AF5B66" w:rsidRDefault="0023187B" w:rsidP="00AF5B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AF5B66" w:rsidRDefault="000A48D0" w:rsidP="00A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</w:p>
    <w:p w:rsidR="0031451C" w:rsidRPr="0031451C" w:rsidRDefault="0031451C" w:rsidP="0031451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31451C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1. Налоговое и неналоговое администрирование: зоны риска и важное для практики.</w:t>
      </w:r>
    </w:p>
    <w:p w:rsidR="0031451C" w:rsidRPr="0031451C" w:rsidRDefault="0031451C" w:rsidP="0031451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31451C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1.1.  Общие вопросы  </w:t>
      </w:r>
    </w:p>
    <w:p w:rsidR="0031451C" w:rsidRPr="0031451C" w:rsidRDefault="0031451C" w:rsidP="0031451C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>Основные итоги 2023г</w:t>
      </w:r>
      <w:proofErr w:type="gramStart"/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 ,</w:t>
      </w:r>
      <w:proofErr w:type="gramEnd"/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 возможные перспективы 2024г. Расширение системы страхования счетов и вкладов организаций.</w:t>
      </w:r>
    </w:p>
    <w:p w:rsidR="0031451C" w:rsidRPr="0031451C" w:rsidRDefault="0031451C" w:rsidP="0031451C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ascii="Calibri" w:eastAsia="Calibri" w:hAnsi="Calibri" w:cs="Times New Roman"/>
          <w:b/>
          <w:color w:val="000000" w:themeColor="text1"/>
          <w:sz w:val="21"/>
          <w:szCs w:val="21"/>
        </w:rPr>
        <w:t>Мораторий на внеплановые проверки</w:t>
      </w: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 продлили на 2024 год</w:t>
      </w:r>
    </w:p>
    <w:p w:rsidR="0031451C" w:rsidRPr="0031451C" w:rsidRDefault="0031451C" w:rsidP="0031451C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>НК и цифровой рубль: изменения внесены.</w:t>
      </w:r>
    </w:p>
    <w:p w:rsidR="0031451C" w:rsidRPr="0031451C" w:rsidRDefault="0031451C" w:rsidP="0031451C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>МЧД: утвердили новый формат электронной доверенности. Кто и когда должен оформить.</w:t>
      </w:r>
    </w:p>
    <w:p w:rsidR="0031451C" w:rsidRPr="0031451C" w:rsidRDefault="0031451C" w:rsidP="0031451C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Какие  </w:t>
      </w:r>
      <w:proofErr w:type="gramStart"/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>компании</w:t>
      </w:r>
      <w:proofErr w:type="gramEnd"/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 и в </w:t>
      </w:r>
      <w:proofErr w:type="gramStart"/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>каких</w:t>
      </w:r>
      <w:proofErr w:type="gramEnd"/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 случаях </w:t>
      </w:r>
      <w:r w:rsidRPr="0031451C">
        <w:rPr>
          <w:rFonts w:ascii="Calibri" w:eastAsia="Calibri" w:hAnsi="Calibri" w:cs="Times New Roman"/>
          <w:b/>
          <w:color w:val="000000" w:themeColor="text1"/>
          <w:sz w:val="21"/>
          <w:szCs w:val="21"/>
        </w:rPr>
        <w:t>должны извещать ФНС  о стоимости  оказанных услуг</w:t>
      </w:r>
    </w:p>
    <w:p w:rsidR="0031451C" w:rsidRPr="0031451C" w:rsidRDefault="0031451C" w:rsidP="0031451C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ascii="Calibri" w:eastAsia="Calibri" w:hAnsi="Calibri" w:cs="Times New Roman"/>
          <w:b/>
          <w:color w:val="000000" w:themeColor="text1"/>
          <w:sz w:val="21"/>
          <w:szCs w:val="21"/>
        </w:rPr>
        <w:t>Новые основания для исключения из ЕГРЮЛ</w:t>
      </w: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 по инициативе регистрирующего органа  и последствия такового.</w:t>
      </w:r>
    </w:p>
    <w:p w:rsidR="0031451C" w:rsidRPr="0031451C" w:rsidRDefault="0031451C" w:rsidP="0031451C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С 2024г </w:t>
      </w:r>
      <w:r w:rsidRPr="0031451C">
        <w:rPr>
          <w:rFonts w:ascii="Calibri" w:eastAsia="Calibri" w:hAnsi="Calibri" w:cs="Times New Roman"/>
          <w:b/>
          <w:color w:val="000000" w:themeColor="text1"/>
          <w:sz w:val="21"/>
          <w:szCs w:val="21"/>
        </w:rPr>
        <w:t>дополнен перечень оснований для блокировки ФНС операций по счетам</w:t>
      </w: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>.</w:t>
      </w:r>
    </w:p>
    <w:p w:rsidR="0031451C" w:rsidRPr="0031451C" w:rsidRDefault="0031451C" w:rsidP="0031451C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Декабрьский закон легализовал межведомственные комиссии  (зарплатные комиссии). </w:t>
      </w:r>
      <w:r w:rsidRPr="0031451C">
        <w:rPr>
          <w:rFonts w:ascii="Calibri" w:eastAsia="Calibri" w:hAnsi="Calibri" w:cs="Times New Roman"/>
          <w:b/>
          <w:color w:val="000000" w:themeColor="text1"/>
          <w:sz w:val="21"/>
          <w:szCs w:val="21"/>
        </w:rPr>
        <w:t xml:space="preserve">Ведение черного списка работодателей </w:t>
      </w: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>через формирование</w:t>
      </w:r>
      <w:r w:rsidRPr="0031451C">
        <w:rPr>
          <w:rFonts w:ascii="Calibri" w:eastAsia="Calibri" w:hAnsi="Calibri" w:cs="Times New Roman"/>
          <w:b/>
          <w:color w:val="000000" w:themeColor="text1"/>
          <w:sz w:val="21"/>
          <w:szCs w:val="21"/>
        </w:rPr>
        <w:t xml:space="preserve">  государственного общедоступного реестра работодателей</w:t>
      </w:r>
      <w:r w:rsidRPr="0031451C">
        <w:rPr>
          <w:rFonts w:ascii="Calibri" w:eastAsia="Calibri" w:hAnsi="Calibri" w:cs="Times New Roman"/>
          <w:color w:val="000000" w:themeColor="text1"/>
          <w:sz w:val="21"/>
          <w:szCs w:val="21"/>
        </w:rPr>
        <w:t>, у которых выявлены факты теневой занятости. Риски организаций и ИП  - на что обратить внимание.</w:t>
      </w:r>
    </w:p>
    <w:p w:rsidR="0031451C" w:rsidRPr="0031451C" w:rsidRDefault="0031451C" w:rsidP="0031451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31451C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1.2.  Применение </w:t>
      </w:r>
      <w:proofErr w:type="spellStart"/>
      <w:r w:rsidRPr="0031451C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гл</w:t>
      </w:r>
      <w:proofErr w:type="spellEnd"/>
      <w:r w:rsidRPr="0031451C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26.2 НК «Упрощенная система налогообложения»  </w:t>
      </w:r>
    </w:p>
    <w:p w:rsidR="0031451C" w:rsidRPr="0031451C" w:rsidRDefault="0031451C" w:rsidP="0031451C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Новшества 2023-2024г для субъектов, применяющих УСН.</w:t>
      </w:r>
    </w:p>
    <w:p w:rsidR="0031451C" w:rsidRPr="0031451C" w:rsidRDefault="0031451C" w:rsidP="0031451C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Новая форма Книги учета доходов и расходов</w:t>
      </w:r>
    </w:p>
    <w:p w:rsidR="0031451C" w:rsidRPr="0031451C" w:rsidRDefault="0031451C" w:rsidP="0031451C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Отдельные  вопросы  исчисления и уплаты  единого налога  при УСН.</w:t>
      </w:r>
    </w:p>
    <w:p w:rsidR="0031451C" w:rsidRPr="0031451C" w:rsidRDefault="0031451C" w:rsidP="0031451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31451C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1.3. «Зарплатные» налоги и сборы:</w:t>
      </w:r>
    </w:p>
    <w:p w:rsidR="0031451C" w:rsidRPr="0031451C" w:rsidRDefault="0031451C" w:rsidP="0031451C">
      <w:pPr>
        <w:numPr>
          <w:ilvl w:val="0"/>
          <w:numId w:val="17"/>
        </w:numPr>
        <w:spacing w:before="100" w:beforeAutospacing="1" w:after="100" w:afterAutospacing="1" w:line="240" w:lineRule="atLeast"/>
        <w:ind w:left="851" w:hanging="425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b/>
          <w:color w:val="000000" w:themeColor="text1"/>
          <w:sz w:val="21"/>
          <w:szCs w:val="21"/>
        </w:rPr>
        <w:t>Новое в администрировании</w:t>
      </w:r>
      <w:r w:rsidRPr="0031451C">
        <w:rPr>
          <w:rFonts w:eastAsia="Calibri" w:cstheme="minorHAnsi"/>
          <w:color w:val="000000" w:themeColor="text1"/>
          <w:sz w:val="21"/>
          <w:szCs w:val="21"/>
        </w:rPr>
        <w:t xml:space="preserve"> НДФЛ с 2024г (увеличение количества уведомлений и платежей, изменение отчетности, отражение на ЕНС): как применять на практике, </w:t>
      </w:r>
      <w:r w:rsidRPr="0031451C">
        <w:rPr>
          <w:rFonts w:eastAsia="Calibri" w:cstheme="minorHAnsi"/>
          <w:b/>
          <w:color w:val="000000" w:themeColor="text1"/>
          <w:sz w:val="21"/>
          <w:szCs w:val="21"/>
        </w:rPr>
        <w:t>важные моменты</w:t>
      </w:r>
      <w:r w:rsidRPr="0031451C">
        <w:rPr>
          <w:rFonts w:eastAsia="Calibri" w:cstheme="minorHAnsi"/>
          <w:color w:val="000000" w:themeColor="text1"/>
          <w:sz w:val="21"/>
          <w:szCs w:val="21"/>
        </w:rPr>
        <w:t>.</w:t>
      </w:r>
    </w:p>
    <w:p w:rsidR="0031451C" w:rsidRPr="0031451C" w:rsidRDefault="0031451C" w:rsidP="0031451C">
      <w:pPr>
        <w:numPr>
          <w:ilvl w:val="0"/>
          <w:numId w:val="17"/>
        </w:numPr>
        <w:spacing w:before="100" w:beforeAutospacing="1" w:after="100" w:afterAutospacing="1" w:line="240" w:lineRule="atLeast"/>
        <w:ind w:left="851" w:hanging="425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Изменения в расчете НДФЛ с 2024г:</w:t>
      </w:r>
    </w:p>
    <w:p w:rsidR="0031451C" w:rsidRPr="0031451C" w:rsidRDefault="0031451C" w:rsidP="0031451C">
      <w:pPr>
        <w:spacing w:before="100" w:beforeAutospacing="1" w:after="100" w:afterAutospacing="1" w:line="240" w:lineRule="atLeast"/>
        <w:ind w:left="851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 xml:space="preserve">- установление новых  нормативов по необлагаемым  выплатам </w:t>
      </w:r>
    </w:p>
    <w:p w:rsidR="0031451C" w:rsidRPr="0031451C" w:rsidRDefault="0031451C" w:rsidP="0031451C">
      <w:pPr>
        <w:spacing w:before="100" w:beforeAutospacing="1" w:after="100" w:afterAutospacing="1" w:line="240" w:lineRule="atLeast"/>
        <w:ind w:left="851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- расчет НДФЛ с совокупной базы</w:t>
      </w:r>
    </w:p>
    <w:p w:rsidR="0031451C" w:rsidRPr="0031451C" w:rsidRDefault="0031451C" w:rsidP="0031451C">
      <w:pPr>
        <w:spacing w:before="100" w:beforeAutospacing="1" w:after="100" w:afterAutospacing="1" w:line="240" w:lineRule="atLeast"/>
        <w:ind w:left="851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- НДФЛ с материальной выгоды</w:t>
      </w:r>
    </w:p>
    <w:p w:rsidR="0031451C" w:rsidRPr="0031451C" w:rsidRDefault="0031451C" w:rsidP="0031451C">
      <w:pPr>
        <w:numPr>
          <w:ilvl w:val="0"/>
          <w:numId w:val="23"/>
        </w:numPr>
        <w:spacing w:before="100" w:beforeAutospacing="1" w:after="100" w:afterAutospacing="1" w:line="240" w:lineRule="atLeast"/>
        <w:ind w:left="709" w:hanging="283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6-НДФЛ: как отчитаться за 2023г и что нового с 2024г</w:t>
      </w:r>
    </w:p>
    <w:p w:rsidR="0031451C" w:rsidRPr="0031451C" w:rsidRDefault="0031451C" w:rsidP="0031451C">
      <w:pPr>
        <w:numPr>
          <w:ilvl w:val="0"/>
          <w:numId w:val="23"/>
        </w:numPr>
        <w:spacing w:before="100" w:beforeAutospacing="1" w:after="100" w:afterAutospacing="1" w:line="240" w:lineRule="atLeast"/>
        <w:ind w:left="709" w:hanging="283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Отчетность в СФР. Изменения, внесенные в порядок заполнения формы ЕФС-1 с 1 января 2024 года</w:t>
      </w:r>
    </w:p>
    <w:p w:rsidR="0031451C" w:rsidRPr="0031451C" w:rsidRDefault="0031451C" w:rsidP="0031451C">
      <w:pPr>
        <w:numPr>
          <w:ilvl w:val="0"/>
          <w:numId w:val="23"/>
        </w:numPr>
        <w:spacing w:before="100" w:beforeAutospacing="1" w:after="100" w:afterAutospacing="1" w:line="240" w:lineRule="atLeast"/>
        <w:ind w:left="709" w:hanging="283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Страховые взносы</w:t>
      </w:r>
      <w:proofErr w:type="gramStart"/>
      <w:r w:rsidRPr="0031451C">
        <w:rPr>
          <w:rFonts w:eastAsia="Calibri" w:cstheme="minorHAnsi"/>
          <w:color w:val="000000" w:themeColor="text1"/>
          <w:sz w:val="21"/>
          <w:szCs w:val="21"/>
        </w:rPr>
        <w:t xml:space="preserve"> :</w:t>
      </w:r>
      <w:proofErr w:type="gramEnd"/>
      <w:r w:rsidRPr="0031451C">
        <w:rPr>
          <w:rFonts w:eastAsia="Calibri" w:cstheme="minorHAnsi"/>
          <w:color w:val="000000" w:themeColor="text1"/>
          <w:sz w:val="21"/>
          <w:szCs w:val="21"/>
        </w:rPr>
        <w:t xml:space="preserve"> уточнение необлагаемых выплат, расширение перечня застрахованных лиц. Изменения в РСВ.</w:t>
      </w:r>
    </w:p>
    <w:p w:rsidR="0031451C" w:rsidRPr="0031451C" w:rsidRDefault="0031451C" w:rsidP="0031451C">
      <w:pPr>
        <w:numPr>
          <w:ilvl w:val="0"/>
          <w:numId w:val="23"/>
        </w:numPr>
        <w:spacing w:before="100" w:beforeAutospacing="1" w:after="100" w:afterAutospacing="1" w:line="240" w:lineRule="atLeast"/>
        <w:ind w:left="709" w:hanging="283"/>
        <w:contextualSpacing/>
        <w:rPr>
          <w:rFonts w:eastAsia="Calibri" w:cstheme="minorHAnsi"/>
          <w:color w:val="000000" w:themeColor="text1"/>
          <w:sz w:val="21"/>
          <w:szCs w:val="21"/>
        </w:rPr>
      </w:pPr>
      <w:r w:rsidRPr="0031451C">
        <w:rPr>
          <w:rFonts w:eastAsia="Calibri" w:cstheme="minorHAnsi"/>
          <w:color w:val="000000" w:themeColor="text1"/>
          <w:sz w:val="21"/>
          <w:szCs w:val="21"/>
        </w:rPr>
        <w:t>ИП</w:t>
      </w:r>
      <w:proofErr w:type="gramStart"/>
      <w:r w:rsidRPr="0031451C">
        <w:rPr>
          <w:rFonts w:eastAsia="Calibri" w:cstheme="minorHAnsi"/>
          <w:color w:val="000000" w:themeColor="text1"/>
          <w:sz w:val="21"/>
          <w:szCs w:val="21"/>
        </w:rPr>
        <w:t xml:space="preserve"> :</w:t>
      </w:r>
      <w:proofErr w:type="gramEnd"/>
      <w:r w:rsidRPr="0031451C">
        <w:rPr>
          <w:rFonts w:eastAsia="Calibri" w:cstheme="minorHAnsi"/>
          <w:color w:val="000000" w:themeColor="text1"/>
          <w:sz w:val="21"/>
          <w:szCs w:val="21"/>
        </w:rPr>
        <w:t xml:space="preserve"> как уменьшить налог на страховые взносы</w:t>
      </w:r>
    </w:p>
    <w:p w:rsidR="0031451C" w:rsidRPr="0031451C" w:rsidRDefault="0031451C" w:rsidP="0031451C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31451C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1.4.</w:t>
      </w:r>
      <w:r w:rsidRPr="003145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 </w:t>
      </w:r>
      <w:r w:rsidRPr="0031451C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Прочие вопросы:</w:t>
      </w:r>
    </w:p>
    <w:p w:rsidR="0031451C" w:rsidRPr="0031451C" w:rsidRDefault="0031451C" w:rsidP="0031451C">
      <w:pPr>
        <w:numPr>
          <w:ilvl w:val="0"/>
          <w:numId w:val="24"/>
        </w:numPr>
        <w:spacing w:before="100" w:beforeAutospacing="1" w:after="100" w:afterAutospacing="1" w:line="240" w:lineRule="atLeast"/>
        <w:ind w:left="851" w:hanging="425"/>
        <w:contextualSpacing/>
        <w:rPr>
          <w:rFonts w:eastAsia="Calibri" w:cstheme="minorHAnsi"/>
          <w:color w:val="000000" w:themeColor="text1"/>
        </w:rPr>
      </w:pPr>
      <w:r w:rsidRPr="0031451C">
        <w:rPr>
          <w:rFonts w:eastAsia="Calibri" w:cstheme="minorHAnsi"/>
          <w:color w:val="000000" w:themeColor="text1"/>
        </w:rPr>
        <w:t>Имущественные налоги: новшества в исчислении</w:t>
      </w:r>
      <w:proofErr w:type="gramStart"/>
      <w:r w:rsidRPr="0031451C">
        <w:rPr>
          <w:rFonts w:eastAsia="Calibri" w:cstheme="minorHAnsi"/>
          <w:color w:val="000000" w:themeColor="text1"/>
        </w:rPr>
        <w:t xml:space="preserve"> .</w:t>
      </w:r>
      <w:proofErr w:type="gramEnd"/>
      <w:r w:rsidRPr="0031451C">
        <w:rPr>
          <w:rFonts w:eastAsia="Calibri" w:cstheme="minorHAnsi"/>
          <w:color w:val="000000" w:themeColor="text1"/>
        </w:rPr>
        <w:t xml:space="preserve"> Отчетность, уведомления.</w:t>
      </w:r>
    </w:p>
    <w:p w:rsidR="007E6D59" w:rsidRPr="007E6D59" w:rsidRDefault="007E6D59" w:rsidP="00FD04F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 Форма оказания услуг: онлайн-трансляция, очное занятие. </w:t>
      </w: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59" w:rsidRPr="007E6D59" w:rsidRDefault="007E6D59" w:rsidP="007E6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оказания Услуг по </w:t>
      </w:r>
      <w:r w:rsidR="00FD04F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настоящему Договору: «    </w:t>
      </w:r>
      <w:r w:rsidR="00E00052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E00052" w:rsidRPr="00E00052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E00052">
        <w:rPr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 w:rsidR="00E00052" w:rsidRPr="00E0005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7E6D5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E6D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31451C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451C">
        <w:rPr>
          <w:rFonts w:ascii="Times New Roman" w:eastAsia="Times New Roman" w:hAnsi="Times New Roman" w:cs="Times New Roman"/>
          <w:lang w:eastAsia="ru-RU"/>
        </w:rPr>
        <w:t>2.1. Стоимость оказания услуг   составляет</w:t>
      </w:r>
      <w:proofErr w:type="gramStart"/>
      <w:r w:rsidRPr="0031451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145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0044" w:rsidRPr="0031451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3E6D9C" w:rsidRPr="0031451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90044" w:rsidRPr="0031451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31451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31451C">
        <w:rPr>
          <w:rFonts w:ascii="Times New Roman" w:eastAsia="Times New Roman" w:hAnsi="Times New Roman" w:cs="Times New Roman"/>
          <w:lang w:eastAsia="ru-RU"/>
        </w:rPr>
        <w:t>рублей НДС нет.</w:t>
      </w:r>
    </w:p>
    <w:p w:rsidR="000C10B4" w:rsidRPr="0031451C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8D0" w:rsidRPr="0031451C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31451C">
        <w:rPr>
          <w:rFonts w:ascii="Times New Roman" w:eastAsia="Times New Roman" w:hAnsi="Times New Roman" w:cs="Times New Roman"/>
          <w:lang w:eastAsia="ru-RU"/>
        </w:rPr>
        <w:t>ЧОУ  ДПО «УЦ «Актив</w:t>
      </w:r>
      <w:proofErr w:type="gramStart"/>
      <w:r w:rsidRPr="0031451C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31451C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31451C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главы 26.2 НК РФ, является организацией, при</w:t>
      </w:r>
      <w:r w:rsidRPr="0031451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31451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меняющие упрощенную систему налогообложения, не признают</w:t>
      </w:r>
      <w:r w:rsidRPr="0031451C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1451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ся налогоплательщиками налога на добавленную стоимость», ЧОУ ДПО </w:t>
      </w:r>
      <w:r w:rsidRPr="0031451C">
        <w:rPr>
          <w:rFonts w:ascii="Times New Roman" w:eastAsia="Times New Roman" w:hAnsi="Times New Roman" w:cs="Times New Roman"/>
          <w:lang w:eastAsia="ru-RU"/>
        </w:rPr>
        <w:t xml:space="preserve"> «УЦ «Актив</w:t>
      </w:r>
      <w:proofErr w:type="gramStart"/>
      <w:r w:rsidRPr="0031451C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31451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31451C">
        <w:rPr>
          <w:rFonts w:ascii="Times New Roman" w:eastAsia="Times New Roman" w:hAnsi="Times New Roman" w:cs="Times New Roman"/>
          <w:color w:val="000000"/>
          <w:lang w:eastAsia="ru-RU"/>
        </w:rPr>
        <w:t xml:space="preserve">не выставляет своим заказчикам услуг </w:t>
      </w:r>
      <w:r w:rsidRPr="0031451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счета-фактуры и осуществляет расчеты без выделения в первич</w:t>
      </w:r>
      <w:r w:rsidRPr="0031451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ных документах сумм НДС.</w:t>
      </w:r>
    </w:p>
    <w:p w:rsidR="000C10B4" w:rsidRPr="0031451C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A48D0" w:rsidRPr="0031451C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2.2. Порядок оплаты: 100 %-</w:t>
      </w:r>
      <w:proofErr w:type="spellStart"/>
      <w:r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ая</w:t>
      </w:r>
      <w:proofErr w:type="spellEnd"/>
      <w:r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предоплата.</w:t>
      </w:r>
    </w:p>
    <w:p w:rsidR="0001212D" w:rsidRPr="0031451C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была предоставлена ссылка доступа к трансляции и онлайн-трансляция мероприятия Исполнителем был</w:t>
      </w:r>
      <w:r w:rsidR="0023187B"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проведена.</w:t>
      </w:r>
    </w:p>
    <w:p w:rsidR="000C10B4" w:rsidRPr="0031451C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BC0686" w:rsidRPr="0031451C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2.</w:t>
      </w:r>
      <w:r w:rsidR="00F839F7"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4</w:t>
      </w:r>
      <w:r w:rsidRPr="0031451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Pr="0031451C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212D" w:rsidRPr="0031451C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51C">
        <w:rPr>
          <w:rFonts w:ascii="Times New Roman" w:eastAsia="Times New Roman" w:hAnsi="Times New Roman" w:cs="Times New Roman"/>
          <w:b/>
          <w:lang w:eastAsia="ru-RU"/>
        </w:rPr>
        <w:t>3. Прочие условия</w:t>
      </w:r>
    </w:p>
    <w:p w:rsidR="0001212D" w:rsidRPr="0031451C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212D" w:rsidRPr="0031451C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451C">
        <w:rPr>
          <w:rFonts w:ascii="Times New Roman" w:eastAsia="Times New Roman" w:hAnsi="Times New Roman" w:cs="Times New Roman"/>
          <w:snapToGrid w:val="0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31451C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451C">
        <w:rPr>
          <w:rFonts w:ascii="Times New Roman" w:eastAsia="Times New Roman" w:hAnsi="Times New Roman" w:cs="Times New Roman"/>
          <w:snapToGrid w:val="0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31451C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451C">
        <w:rPr>
          <w:rFonts w:ascii="Times New Roman" w:eastAsia="Times New Roman" w:hAnsi="Times New Roman" w:cs="Times New Roman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tbl>
      <w:tblPr>
        <w:tblW w:w="10086" w:type="dxa"/>
        <w:tblInd w:w="87" w:type="dxa"/>
        <w:tblLook w:val="04A0" w:firstRow="1" w:lastRow="0" w:firstColumn="1" w:lastColumn="0" w:noHBand="0" w:noVBand="1"/>
      </w:tblPr>
      <w:tblGrid>
        <w:gridCol w:w="4853"/>
        <w:gridCol w:w="5233"/>
      </w:tblGrid>
      <w:tr w:rsidR="000A48D0" w:rsidRPr="000A48D0" w:rsidTr="007E6D59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630099 Новосибирск,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  <w:r w:rsidR="007E6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233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7E6D59" w:rsidRDefault="007E6D59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ectPr w:rsidR="007E6D59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7E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АКТ №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7E6D59">
          <w:type w:val="continuous"/>
          <w:pgSz w:w="11909" w:h="16834" w:code="9"/>
          <w:pgMar w:top="249" w:right="709" w:bottom="568" w:left="427" w:header="720" w:footer="0" w:gutter="0"/>
          <w:cols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CE7386" w:rsidRPr="00CE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7E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proofErr w:type="gramStart"/>
      <w:r w:rsidR="00CE7386" w:rsidRPr="00CE7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E00052" w:rsidRPr="00E0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FD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E00052" w:rsidRPr="00E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E00052" w:rsidRPr="00E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E00052" w:rsidRPr="00E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10184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7386">
        <w:rPr>
          <w:rFonts w:ascii="Times New Roman" w:eastAsia="Times New Roman" w:hAnsi="Times New Roman" w:cs="Times New Roman"/>
          <w:color w:val="000000"/>
          <w:lang w:val="en-US" w:eastAsia="ru-RU"/>
        </w:rPr>
        <w:t>____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CE7386">
        <w:rPr>
          <w:rFonts w:ascii="Times New Roman" w:eastAsia="Times New Roman" w:hAnsi="Times New Roman" w:cs="Times New Roman"/>
          <w:color w:val="000000"/>
          <w:lang w:val="en-US" w:eastAsia="ru-RU"/>
        </w:rPr>
        <w:t>4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</w:t>
      </w:r>
      <w:r w:rsidR="00897E09" w:rsidRPr="00897E09">
        <w:rPr>
          <w:rFonts w:ascii="Times New Roman" w:eastAsia="Times New Roman" w:hAnsi="Times New Roman" w:cs="Times New Roman"/>
          <w:color w:val="000000"/>
          <w:lang w:eastAsia="ru-RU"/>
        </w:rPr>
        <w:t xml:space="preserve">«____» 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0052" w:rsidRPr="00E00052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 xml:space="preserve">  202</w:t>
      </w:r>
      <w:r w:rsidR="00E00052" w:rsidRPr="00E0005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97E09" w:rsidRPr="00897E0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Заказчику информационно-консультационные услуги в форме </w:t>
      </w:r>
      <w:r w:rsidR="00FA66A0">
        <w:rPr>
          <w:rFonts w:ascii="Times New Roman" w:eastAsia="Times New Roman" w:hAnsi="Times New Roman" w:cs="Times New Roman"/>
          <w:color w:val="000000"/>
          <w:lang w:eastAsia="ru-RU"/>
        </w:rPr>
        <w:t>семинаров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(онла</w:t>
      </w:r>
      <w:r w:rsidR="00110184">
        <w:rPr>
          <w:rFonts w:ascii="Times New Roman" w:eastAsia="Times New Roman" w:hAnsi="Times New Roman" w:cs="Times New Roman"/>
          <w:color w:val="000000"/>
          <w:lang w:eastAsia="ru-RU"/>
        </w:rPr>
        <w:t>йн-трансляции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по теме: </w:t>
      </w:r>
      <w:r w:rsidR="007E6D59" w:rsidRPr="007E6D5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31451C" w:rsidRPr="0031451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УСН: отчётность за 2023 год. Важные новшества 2024 года! </w:t>
      </w:r>
      <w:r w:rsidR="00CE7386" w:rsidRPr="00CE738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7E6D59" w:rsidRPr="007E6D5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7E6D5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110184" w:rsidRDefault="00110184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тавляет:     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897E09" w:rsidRDefault="00897E09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0A48D0" w:rsidRPr="000A48D0" w:rsidTr="007E6D59">
        <w:trPr>
          <w:trHeight w:val="4410"/>
        </w:trPr>
        <w:tc>
          <w:tcPr>
            <w:tcW w:w="538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630099 Новосибирск,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4961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7E6D59">
          <w:type w:val="continuous"/>
          <w:pgSz w:w="11909" w:h="16834" w:code="9"/>
          <w:pgMar w:top="70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DD" w:rsidRDefault="00A920DD">
      <w:pPr>
        <w:spacing w:after="0" w:line="240" w:lineRule="auto"/>
      </w:pPr>
      <w:r>
        <w:separator/>
      </w:r>
    </w:p>
  </w:endnote>
  <w:endnote w:type="continuationSeparator" w:id="0">
    <w:p w:rsidR="00A920DD" w:rsidRDefault="00A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DD" w:rsidRDefault="00A920DD">
      <w:pPr>
        <w:spacing w:after="0" w:line="240" w:lineRule="auto"/>
      </w:pPr>
      <w:r>
        <w:separator/>
      </w:r>
    </w:p>
  </w:footnote>
  <w:footnote w:type="continuationSeparator" w:id="0">
    <w:p w:rsidR="00A920DD" w:rsidRDefault="00A9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A92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17B"/>
    <w:multiLevelType w:val="hybridMultilevel"/>
    <w:tmpl w:val="3DBE06A8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4610"/>
    <w:multiLevelType w:val="hybridMultilevel"/>
    <w:tmpl w:val="244247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1A1FC9"/>
    <w:multiLevelType w:val="multilevel"/>
    <w:tmpl w:val="9656E2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9" w:hanging="1440"/>
      </w:pPr>
      <w:rPr>
        <w:rFonts w:hint="default"/>
      </w:rPr>
    </w:lvl>
  </w:abstractNum>
  <w:abstractNum w:abstractNumId="7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0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58661A"/>
    <w:multiLevelType w:val="hybridMultilevel"/>
    <w:tmpl w:val="97644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63241"/>
    <w:multiLevelType w:val="hybridMultilevel"/>
    <w:tmpl w:val="53347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0592A"/>
    <w:multiLevelType w:val="hybridMultilevel"/>
    <w:tmpl w:val="B2BA02D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7246FA"/>
    <w:multiLevelType w:val="hybridMultilevel"/>
    <w:tmpl w:val="C4A80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18"/>
  </w:num>
  <w:num w:numId="6">
    <w:abstractNumId w:val="3"/>
  </w:num>
  <w:num w:numId="7">
    <w:abstractNumId w:val="13"/>
  </w:num>
  <w:num w:numId="8">
    <w:abstractNumId w:val="19"/>
  </w:num>
  <w:num w:numId="9">
    <w:abstractNumId w:val="4"/>
  </w:num>
  <w:num w:numId="10">
    <w:abstractNumId w:val="8"/>
  </w:num>
  <w:num w:numId="11">
    <w:abstractNumId w:val="6"/>
  </w:num>
  <w:num w:numId="12">
    <w:abstractNumId w:val="25"/>
  </w:num>
  <w:num w:numId="13">
    <w:abstractNumId w:val="23"/>
  </w:num>
  <w:num w:numId="14">
    <w:abstractNumId w:val="22"/>
  </w:num>
  <w:num w:numId="15">
    <w:abstractNumId w:val="14"/>
  </w:num>
  <w:num w:numId="16">
    <w:abstractNumId w:val="24"/>
  </w:num>
  <w:num w:numId="17">
    <w:abstractNumId w:val="15"/>
  </w:num>
  <w:num w:numId="18">
    <w:abstractNumId w:val="0"/>
  </w:num>
  <w:num w:numId="19">
    <w:abstractNumId w:val="11"/>
  </w:num>
  <w:num w:numId="20">
    <w:abstractNumId w:val="10"/>
  </w:num>
  <w:num w:numId="21">
    <w:abstractNumId w:val="20"/>
  </w:num>
  <w:num w:numId="22">
    <w:abstractNumId w:val="5"/>
  </w:num>
  <w:num w:numId="23">
    <w:abstractNumId w:val="17"/>
  </w:num>
  <w:num w:numId="24">
    <w:abstractNumId w:val="2"/>
  </w:num>
  <w:num w:numId="25">
    <w:abstractNumId w:val="16"/>
  </w:num>
  <w:num w:numId="2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80F91"/>
    <w:rsid w:val="00081557"/>
    <w:rsid w:val="000A48D0"/>
    <w:rsid w:val="000B18F7"/>
    <w:rsid w:val="000C10B4"/>
    <w:rsid w:val="001063D7"/>
    <w:rsid w:val="00106AFE"/>
    <w:rsid w:val="00110184"/>
    <w:rsid w:val="0015313F"/>
    <w:rsid w:val="001544D1"/>
    <w:rsid w:val="00170E40"/>
    <w:rsid w:val="001B5C69"/>
    <w:rsid w:val="001C654D"/>
    <w:rsid w:val="0023187B"/>
    <w:rsid w:val="00231C55"/>
    <w:rsid w:val="00242C6A"/>
    <w:rsid w:val="00250D2B"/>
    <w:rsid w:val="002764C9"/>
    <w:rsid w:val="002859CD"/>
    <w:rsid w:val="002A0D2B"/>
    <w:rsid w:val="002A1890"/>
    <w:rsid w:val="002A252C"/>
    <w:rsid w:val="002C3A9F"/>
    <w:rsid w:val="00300019"/>
    <w:rsid w:val="0031451C"/>
    <w:rsid w:val="00314F63"/>
    <w:rsid w:val="00326206"/>
    <w:rsid w:val="0035348B"/>
    <w:rsid w:val="00387E2C"/>
    <w:rsid w:val="003C06BD"/>
    <w:rsid w:val="003C73A8"/>
    <w:rsid w:val="003D6EC8"/>
    <w:rsid w:val="003E6D9C"/>
    <w:rsid w:val="003F3141"/>
    <w:rsid w:val="003F7373"/>
    <w:rsid w:val="004C5599"/>
    <w:rsid w:val="00507D7C"/>
    <w:rsid w:val="00556762"/>
    <w:rsid w:val="005B232F"/>
    <w:rsid w:val="005E7BDE"/>
    <w:rsid w:val="00644EE7"/>
    <w:rsid w:val="00661EBB"/>
    <w:rsid w:val="00676C06"/>
    <w:rsid w:val="006A3A10"/>
    <w:rsid w:val="00700423"/>
    <w:rsid w:val="00710648"/>
    <w:rsid w:val="0074036B"/>
    <w:rsid w:val="007725D3"/>
    <w:rsid w:val="007C0F26"/>
    <w:rsid w:val="007E6D59"/>
    <w:rsid w:val="00825818"/>
    <w:rsid w:val="00871136"/>
    <w:rsid w:val="00890044"/>
    <w:rsid w:val="00897E09"/>
    <w:rsid w:val="008A11BB"/>
    <w:rsid w:val="008C3AE3"/>
    <w:rsid w:val="00933089"/>
    <w:rsid w:val="00984385"/>
    <w:rsid w:val="009C7253"/>
    <w:rsid w:val="00A223D1"/>
    <w:rsid w:val="00A24ED0"/>
    <w:rsid w:val="00A920DD"/>
    <w:rsid w:val="00AF5B66"/>
    <w:rsid w:val="00AF74A0"/>
    <w:rsid w:val="00B07FE2"/>
    <w:rsid w:val="00B12F10"/>
    <w:rsid w:val="00B62BA7"/>
    <w:rsid w:val="00B70839"/>
    <w:rsid w:val="00B9664A"/>
    <w:rsid w:val="00BA4D11"/>
    <w:rsid w:val="00BC0686"/>
    <w:rsid w:val="00C24BC2"/>
    <w:rsid w:val="00CB7AE3"/>
    <w:rsid w:val="00CE5978"/>
    <w:rsid w:val="00CE7386"/>
    <w:rsid w:val="00CF128B"/>
    <w:rsid w:val="00D0266E"/>
    <w:rsid w:val="00D11D16"/>
    <w:rsid w:val="00D851BC"/>
    <w:rsid w:val="00D953F3"/>
    <w:rsid w:val="00D9765C"/>
    <w:rsid w:val="00DF2A4D"/>
    <w:rsid w:val="00E00052"/>
    <w:rsid w:val="00E05C2E"/>
    <w:rsid w:val="00E146A5"/>
    <w:rsid w:val="00E818F6"/>
    <w:rsid w:val="00E96B32"/>
    <w:rsid w:val="00EB1DA0"/>
    <w:rsid w:val="00ED3C69"/>
    <w:rsid w:val="00EF2450"/>
    <w:rsid w:val="00EF6F57"/>
    <w:rsid w:val="00F26F22"/>
    <w:rsid w:val="00F839F7"/>
    <w:rsid w:val="00FA4E85"/>
    <w:rsid w:val="00FA66A0"/>
    <w:rsid w:val="00FA6AD1"/>
    <w:rsid w:val="00FD04FE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2024-01-17T12:53:00Z</dcterms:created>
  <dcterms:modified xsi:type="dcterms:W3CDTF">2024-01-23T08:10:00Z</dcterms:modified>
</cp:coreProperties>
</file>