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867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867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867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A6AD1" w:rsidRP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0A48D0" w:rsidRDefault="000A48D0" w:rsidP="00867A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</w:t>
      </w:r>
      <w:r w:rsidR="00867A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услуги в форме семинара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(онлайн-трансляция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86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867AB4" w:rsidRPr="00867AB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ФСБУ 25/2018. Бухгалтерский учет  аренды и лизинга по новым правилам с 2022г</w:t>
      </w:r>
      <w:proofErr w:type="gramStart"/>
      <w:r w:rsidR="00867AB4" w:rsidRPr="0086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867AB4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проведения  3 декабря 2021г</w:t>
      </w:r>
      <w:r w:rsidR="000A48D0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F839F7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AB4" w:rsidRPr="00EF6F57" w:rsidRDefault="00867AB4" w:rsidP="00867AB4">
      <w:pPr>
        <w:spacing w:after="0" w:line="240" w:lineRule="auto"/>
        <w:rPr>
          <w:rFonts w:ascii="Calibri" w:eastAsia="Calibri" w:hAnsi="Calibri" w:cs="Times New Roman"/>
          <w:b/>
          <w:color w:val="0000CC"/>
          <w:sz w:val="24"/>
          <w:szCs w:val="24"/>
        </w:rPr>
      </w:pPr>
      <w:r w:rsidRPr="00EF6F57">
        <w:rPr>
          <w:rFonts w:ascii="Calibri" w:eastAsia="Calibri" w:hAnsi="Calibri" w:cs="Times New Roman"/>
          <w:b/>
          <w:color w:val="0000CC"/>
          <w:sz w:val="24"/>
          <w:szCs w:val="24"/>
        </w:rPr>
        <w:t>ФСБУ 25/2018. Бухгалтерский учет  аренды и лизинга по новым правилам с 2022г</w:t>
      </w:r>
      <w:proofErr w:type="gramStart"/>
      <w:r w:rsidRPr="00EF6F57">
        <w:rPr>
          <w:rFonts w:ascii="Calibri" w:eastAsia="Calibri" w:hAnsi="Calibri" w:cs="Times New Roman"/>
          <w:b/>
          <w:color w:val="0000CC"/>
          <w:sz w:val="24"/>
          <w:szCs w:val="24"/>
        </w:rPr>
        <w:t xml:space="preserve"> .</w:t>
      </w:r>
      <w:proofErr w:type="gramEnd"/>
      <w:r w:rsidRPr="00EF6F57">
        <w:rPr>
          <w:rFonts w:ascii="Calibri" w:eastAsia="Calibri" w:hAnsi="Calibri" w:cs="Times New Roman"/>
          <w:b/>
          <w:color w:val="0000CC"/>
          <w:sz w:val="24"/>
          <w:szCs w:val="24"/>
        </w:rPr>
        <w:t xml:space="preserve"> </w:t>
      </w:r>
    </w:p>
    <w:p w:rsidR="00867AB4" w:rsidRPr="00EF6F57" w:rsidRDefault="00867AB4" w:rsidP="00867AB4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color w:val="333333"/>
          <w:lang w:eastAsia="ru-RU"/>
        </w:rPr>
        <w:t>Понятие аренды для целей БУ с 2022г: ключевые понятия и  базовые принципы учета.</w:t>
      </w:r>
    </w:p>
    <w:p w:rsidR="00867AB4" w:rsidRPr="00EF6F57" w:rsidRDefault="00867AB4" w:rsidP="00867AB4">
      <w:pPr>
        <w:numPr>
          <w:ilvl w:val="0"/>
          <w:numId w:val="23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color w:val="333333"/>
          <w:lang w:eastAsia="ru-RU"/>
        </w:rPr>
        <w:t>Отличия понятий аренды в законодательстве и в бухучете</w:t>
      </w:r>
    </w:p>
    <w:p w:rsidR="00867AB4" w:rsidRPr="00EF6F57" w:rsidRDefault="00867AB4" w:rsidP="00867AB4">
      <w:pPr>
        <w:numPr>
          <w:ilvl w:val="0"/>
          <w:numId w:val="23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color w:val="333333"/>
          <w:lang w:eastAsia="ru-RU"/>
        </w:rPr>
        <w:t>Условия классификации объектов учета аренды. Отказ от концепции «балансодержателя»</w:t>
      </w:r>
    </w:p>
    <w:p w:rsidR="00867AB4" w:rsidRPr="00EF6F57" w:rsidRDefault="00867AB4" w:rsidP="00867AB4">
      <w:pPr>
        <w:numPr>
          <w:ilvl w:val="0"/>
          <w:numId w:val="23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color w:val="333333"/>
          <w:lang w:eastAsia="ru-RU"/>
        </w:rPr>
        <w:t>Асимметричный порядок учёта у сторон договора</w:t>
      </w:r>
    </w:p>
    <w:p w:rsidR="00867AB4" w:rsidRPr="00EF6F57" w:rsidRDefault="00867AB4" w:rsidP="00867AB4">
      <w:pPr>
        <w:numPr>
          <w:ilvl w:val="0"/>
          <w:numId w:val="23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Calibri" w:hAnsi="Times New Roman" w:cs="Times New Roman"/>
          <w:color w:val="333333"/>
        </w:rPr>
      </w:pPr>
      <w:r w:rsidRPr="00EF6F57">
        <w:rPr>
          <w:rFonts w:ascii="Times New Roman" w:eastAsia="Calibri" w:hAnsi="Times New Roman" w:cs="Times New Roman"/>
          <w:color w:val="333333"/>
        </w:rPr>
        <w:t>Учёт у арендатора</w:t>
      </w:r>
    </w:p>
    <w:p w:rsidR="00867AB4" w:rsidRPr="00EF6F57" w:rsidRDefault="00867AB4" w:rsidP="00867AB4">
      <w:pPr>
        <w:numPr>
          <w:ilvl w:val="0"/>
          <w:numId w:val="15"/>
        </w:numPr>
        <w:shd w:val="clear" w:color="auto" w:fill="FFFFFF"/>
        <w:spacing w:after="0" w:line="30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i/>
          <w:color w:val="333333"/>
          <w:lang w:eastAsia="ru-RU"/>
        </w:rPr>
        <w:t>Понятие права пользования активом</w:t>
      </w:r>
    </w:p>
    <w:p w:rsidR="00867AB4" w:rsidRPr="00EF6F57" w:rsidRDefault="00867AB4" w:rsidP="00867AB4">
      <w:pPr>
        <w:numPr>
          <w:ilvl w:val="0"/>
          <w:numId w:val="15"/>
        </w:numPr>
        <w:spacing w:after="0" w:line="300" w:lineRule="auto"/>
        <w:ind w:left="1134" w:hanging="283"/>
        <w:contextualSpacing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i/>
          <w:color w:val="333333"/>
          <w:lang w:eastAsia="ru-RU"/>
        </w:rPr>
        <w:t>Упрощенный учёт аренды до 12 месяцев и предметов низкой стоимости</w:t>
      </w:r>
    </w:p>
    <w:p w:rsidR="00867AB4" w:rsidRPr="00EF6F57" w:rsidRDefault="00867AB4" w:rsidP="00867AB4">
      <w:pPr>
        <w:numPr>
          <w:ilvl w:val="0"/>
          <w:numId w:val="15"/>
        </w:numPr>
        <w:shd w:val="clear" w:color="auto" w:fill="FFFFFF"/>
        <w:spacing w:after="0" w:line="30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i/>
          <w:color w:val="333333"/>
          <w:lang w:eastAsia="ru-RU"/>
        </w:rPr>
        <w:t>Признание права пользования активом и обязательства по аренде. Учет у лизингополучателя.</w:t>
      </w:r>
    </w:p>
    <w:p w:rsidR="00867AB4" w:rsidRPr="00EF6F57" w:rsidRDefault="00867AB4" w:rsidP="00867AB4">
      <w:pPr>
        <w:numPr>
          <w:ilvl w:val="0"/>
          <w:numId w:val="15"/>
        </w:numPr>
        <w:shd w:val="clear" w:color="auto" w:fill="FFFFFF"/>
        <w:spacing w:after="0" w:line="30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Состав арендных платежей. </w:t>
      </w:r>
    </w:p>
    <w:p w:rsidR="00867AB4" w:rsidRPr="00EF6F57" w:rsidRDefault="00867AB4" w:rsidP="00867AB4">
      <w:pPr>
        <w:numPr>
          <w:ilvl w:val="0"/>
          <w:numId w:val="26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Calibri" w:hAnsi="Times New Roman" w:cs="Times New Roman"/>
          <w:color w:val="333333"/>
        </w:rPr>
      </w:pPr>
      <w:r w:rsidRPr="00EF6F57">
        <w:rPr>
          <w:rFonts w:ascii="Times New Roman" w:eastAsia="Calibri" w:hAnsi="Times New Roman" w:cs="Times New Roman"/>
          <w:color w:val="333333"/>
        </w:rPr>
        <w:t>Учёт у арендодателя</w:t>
      </w:r>
    </w:p>
    <w:p w:rsidR="00867AB4" w:rsidRPr="00EF6F57" w:rsidRDefault="00867AB4" w:rsidP="00867AB4">
      <w:pPr>
        <w:numPr>
          <w:ilvl w:val="0"/>
          <w:numId w:val="15"/>
        </w:numPr>
        <w:shd w:val="clear" w:color="auto" w:fill="FFFFFF"/>
        <w:spacing w:after="0" w:line="30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i/>
          <w:color w:val="333333"/>
          <w:lang w:eastAsia="ru-RU"/>
        </w:rPr>
        <w:t>Деление аренды на финансовую и операционную</w:t>
      </w:r>
    </w:p>
    <w:p w:rsidR="00867AB4" w:rsidRPr="00EF6F57" w:rsidRDefault="00867AB4" w:rsidP="00867AB4">
      <w:pPr>
        <w:numPr>
          <w:ilvl w:val="0"/>
          <w:numId w:val="15"/>
        </w:numPr>
        <w:shd w:val="clear" w:color="auto" w:fill="FFFFFF"/>
        <w:spacing w:after="0" w:line="30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i/>
          <w:color w:val="333333"/>
          <w:lang w:eastAsia="ru-RU"/>
        </w:rPr>
        <w:t>Особенности классификации аренды и её изменение</w:t>
      </w:r>
    </w:p>
    <w:p w:rsidR="00867AB4" w:rsidRPr="00EF6F57" w:rsidRDefault="00867AB4" w:rsidP="00867AB4">
      <w:pPr>
        <w:numPr>
          <w:ilvl w:val="0"/>
          <w:numId w:val="15"/>
        </w:numPr>
        <w:shd w:val="clear" w:color="auto" w:fill="FFFFFF"/>
        <w:spacing w:after="0" w:line="30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EF6F57">
        <w:rPr>
          <w:rFonts w:ascii="Times New Roman" w:eastAsia="Times New Roman" w:hAnsi="Times New Roman" w:cs="Times New Roman"/>
          <w:i/>
          <w:color w:val="333333"/>
          <w:lang w:eastAsia="ru-RU"/>
        </w:rPr>
        <w:t>Признаки финансовой аренды и признание ее арендодателем. Учет у лизингодателя</w:t>
      </w:r>
    </w:p>
    <w:p w:rsidR="00867AB4" w:rsidRPr="00867AB4" w:rsidRDefault="00867AB4" w:rsidP="00867AB4">
      <w:pPr>
        <w:numPr>
          <w:ilvl w:val="0"/>
          <w:numId w:val="15"/>
        </w:numPr>
        <w:shd w:val="clear" w:color="auto" w:fill="FFFFFF"/>
        <w:spacing w:after="0" w:line="300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333333"/>
        </w:rPr>
      </w:pPr>
      <w:r w:rsidRPr="00867AB4">
        <w:rPr>
          <w:rFonts w:ascii="Times New Roman" w:eastAsia="Calibri" w:hAnsi="Times New Roman" w:cs="Times New Roman"/>
          <w:color w:val="333333"/>
        </w:rPr>
        <w:t>Понятие чистой инвестиц</w:t>
      </w:r>
      <w:proofErr w:type="gramStart"/>
      <w:r w:rsidRPr="00867AB4">
        <w:rPr>
          <w:rFonts w:ascii="Times New Roman" w:eastAsia="Calibri" w:hAnsi="Times New Roman" w:cs="Times New Roman"/>
          <w:color w:val="333333"/>
        </w:rPr>
        <w:t>ии и ее</w:t>
      </w:r>
      <w:proofErr w:type="gramEnd"/>
      <w:r w:rsidRPr="00867AB4">
        <w:rPr>
          <w:rFonts w:ascii="Times New Roman" w:eastAsia="Calibri" w:hAnsi="Times New Roman" w:cs="Times New Roman"/>
          <w:color w:val="333333"/>
        </w:rPr>
        <w:t xml:space="preserve"> оценка</w:t>
      </w:r>
    </w:p>
    <w:p w:rsidR="00867AB4" w:rsidRPr="00867AB4" w:rsidRDefault="00867AB4" w:rsidP="00867AB4">
      <w:pPr>
        <w:numPr>
          <w:ilvl w:val="0"/>
          <w:numId w:val="26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Calibri" w:hAnsi="Times New Roman" w:cs="Times New Roman"/>
          <w:color w:val="333333"/>
        </w:rPr>
      </w:pPr>
      <w:r w:rsidRPr="00867AB4">
        <w:rPr>
          <w:rFonts w:ascii="Times New Roman" w:eastAsia="Calibri" w:hAnsi="Times New Roman" w:cs="Times New Roman"/>
          <w:color w:val="333333"/>
        </w:rPr>
        <w:t>Особенности перехода на ФСБУ 25/2018 с 2022г</w:t>
      </w:r>
    </w:p>
    <w:p w:rsidR="00867AB4" w:rsidRDefault="00867AB4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AB4" w:rsidRDefault="00867AB4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оказания услуг   составляет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 (Три тысячи)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C62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C6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C62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FA6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62CF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6F57">
        <w:rPr>
          <w:rFonts w:ascii="Times New Roman" w:eastAsia="Times New Roman" w:hAnsi="Times New Roman" w:cs="Times New Roman"/>
          <w:color w:val="000000"/>
          <w:lang w:eastAsia="ru-RU"/>
        </w:rPr>
        <w:t>декабря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C62CF9" w:rsidRPr="00C62CF9">
        <w:rPr>
          <w:rFonts w:ascii="Times New Roman" w:eastAsia="Times New Roman" w:hAnsi="Times New Roman" w:cs="Times New Roman"/>
          <w:color w:val="000000"/>
          <w:lang w:eastAsia="ru-RU"/>
        </w:rPr>
        <w:t xml:space="preserve">ФСБУ 25/2018. Бухгалтерский учет  аренды и лизинга по новым правилам с 2022г 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C62CF9" w:rsidRDefault="00C62CF9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C62CF9">
        <w:rPr>
          <w:rFonts w:ascii="Times New Roman" w:eastAsia="Times New Roman" w:hAnsi="Times New Roman" w:cs="Times New Roman"/>
          <w:color w:val="000000"/>
          <w:lang w:eastAsia="ru-RU"/>
        </w:rPr>
        <w:t>тавляет   3000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62CF9">
        <w:rPr>
          <w:rFonts w:ascii="Times New Roman" w:eastAsia="Times New Roman" w:hAnsi="Times New Roman" w:cs="Times New Roman"/>
          <w:color w:val="000000"/>
          <w:lang w:eastAsia="ru-RU"/>
        </w:rPr>
        <w:t>Три тысячи</w:t>
      </w:r>
      <w:bookmarkStart w:id="0" w:name="_GoBack"/>
      <w:bookmarkEnd w:id="0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F9" w:rsidRDefault="009A40F9">
      <w:pPr>
        <w:spacing w:after="0" w:line="240" w:lineRule="auto"/>
      </w:pPr>
      <w:r>
        <w:separator/>
      </w:r>
    </w:p>
  </w:endnote>
  <w:endnote w:type="continuationSeparator" w:id="0">
    <w:p w:rsidR="009A40F9" w:rsidRDefault="009A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F9" w:rsidRDefault="009A40F9">
      <w:pPr>
        <w:spacing w:after="0" w:line="240" w:lineRule="auto"/>
      </w:pPr>
      <w:r>
        <w:separator/>
      </w:r>
    </w:p>
  </w:footnote>
  <w:footnote w:type="continuationSeparator" w:id="0">
    <w:p w:rsidR="009A40F9" w:rsidRDefault="009A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9A40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5F69"/>
    <w:multiLevelType w:val="hybridMultilevel"/>
    <w:tmpl w:val="FC946130"/>
    <w:lvl w:ilvl="0" w:tplc="09AC57E4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1F3A"/>
    <w:multiLevelType w:val="hybridMultilevel"/>
    <w:tmpl w:val="3B92CA2C"/>
    <w:lvl w:ilvl="0" w:tplc="09AC57E4">
      <w:start w:val="1"/>
      <w:numFmt w:val="bullet"/>
      <w:lvlText w:val="‒"/>
      <w:lvlJc w:val="left"/>
      <w:pPr>
        <w:ind w:left="149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>
    <w:nsid w:val="218057F3"/>
    <w:multiLevelType w:val="hybridMultilevel"/>
    <w:tmpl w:val="19ECF68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A34B56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4674"/>
    <w:multiLevelType w:val="hybridMultilevel"/>
    <w:tmpl w:val="2FBA7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F141BEA"/>
    <w:multiLevelType w:val="hybridMultilevel"/>
    <w:tmpl w:val="4A4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A3C17"/>
    <w:multiLevelType w:val="hybridMultilevel"/>
    <w:tmpl w:val="F028E08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18"/>
  </w:num>
  <w:num w:numId="5">
    <w:abstractNumId w:val="6"/>
  </w:num>
  <w:num w:numId="6">
    <w:abstractNumId w:val="14"/>
  </w:num>
  <w:num w:numId="7">
    <w:abstractNumId w:val="15"/>
  </w:num>
  <w:num w:numId="8">
    <w:abstractNumId w:val="0"/>
  </w:num>
  <w:num w:numId="9">
    <w:abstractNumId w:val="25"/>
  </w:num>
  <w:num w:numId="10">
    <w:abstractNumId w:val="8"/>
  </w:num>
  <w:num w:numId="11">
    <w:abstractNumId w:val="2"/>
  </w:num>
  <w:num w:numId="12">
    <w:abstractNumId w:val="17"/>
  </w:num>
  <w:num w:numId="13">
    <w:abstractNumId w:val="4"/>
  </w:num>
  <w:num w:numId="14">
    <w:abstractNumId w:val="23"/>
  </w:num>
  <w:num w:numId="15">
    <w:abstractNumId w:val="24"/>
  </w:num>
  <w:num w:numId="16">
    <w:abstractNumId w:val="13"/>
  </w:num>
  <w:num w:numId="17">
    <w:abstractNumId w:val="16"/>
  </w:num>
  <w:num w:numId="18">
    <w:abstractNumId w:val="21"/>
  </w:num>
  <w:num w:numId="19">
    <w:abstractNumId w:val="7"/>
  </w:num>
  <w:num w:numId="20">
    <w:abstractNumId w:val="3"/>
  </w:num>
  <w:num w:numId="21">
    <w:abstractNumId w:val="5"/>
  </w:num>
  <w:num w:numId="22">
    <w:abstractNumId w:val="10"/>
  </w:num>
  <w:num w:numId="23">
    <w:abstractNumId w:val="19"/>
  </w:num>
  <w:num w:numId="24">
    <w:abstractNumId w:val="11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A48D0"/>
    <w:rsid w:val="000C10B4"/>
    <w:rsid w:val="00106AFE"/>
    <w:rsid w:val="00231C55"/>
    <w:rsid w:val="00242C6A"/>
    <w:rsid w:val="00250D2B"/>
    <w:rsid w:val="002A0D2B"/>
    <w:rsid w:val="002A1890"/>
    <w:rsid w:val="00326206"/>
    <w:rsid w:val="003C73A8"/>
    <w:rsid w:val="00507D7C"/>
    <w:rsid w:val="00661EBB"/>
    <w:rsid w:val="006A3A10"/>
    <w:rsid w:val="00700423"/>
    <w:rsid w:val="00710648"/>
    <w:rsid w:val="0074036B"/>
    <w:rsid w:val="007725D3"/>
    <w:rsid w:val="007C0F26"/>
    <w:rsid w:val="00867AB4"/>
    <w:rsid w:val="00871136"/>
    <w:rsid w:val="008C3AE3"/>
    <w:rsid w:val="00984385"/>
    <w:rsid w:val="009A40F9"/>
    <w:rsid w:val="00B07FE2"/>
    <w:rsid w:val="00B51C62"/>
    <w:rsid w:val="00B62BA7"/>
    <w:rsid w:val="00B70839"/>
    <w:rsid w:val="00BC0686"/>
    <w:rsid w:val="00C05F8C"/>
    <w:rsid w:val="00C24BC2"/>
    <w:rsid w:val="00C62CF9"/>
    <w:rsid w:val="00CE5978"/>
    <w:rsid w:val="00CF128B"/>
    <w:rsid w:val="00D851BC"/>
    <w:rsid w:val="00D953F3"/>
    <w:rsid w:val="00E05C2E"/>
    <w:rsid w:val="00E146A5"/>
    <w:rsid w:val="00E96B32"/>
    <w:rsid w:val="00ED3C69"/>
    <w:rsid w:val="00EF6F57"/>
    <w:rsid w:val="00F26F22"/>
    <w:rsid w:val="00F839F7"/>
    <w:rsid w:val="00FA4E85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2021-11-30T06:04:00Z</dcterms:created>
  <dcterms:modified xsi:type="dcterms:W3CDTF">2021-11-30T06:09:00Z</dcterms:modified>
</cp:coreProperties>
</file>