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№ 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</w:t>
      </w:r>
      <w:proofErr w:type="gramStart"/>
      <w:r w:rsidR="00DE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48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8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5C1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D8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Default="000A48D0" w:rsidP="00F61A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информационно-консультационные услуги в форме семинаров </w:t>
      </w:r>
      <w:r w:rsidR="00CE5978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(онлайн-трансляций)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 w:rsidR="0003088A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A8F" w:rsidRPr="00F61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нормативном регулировании и актуальные                                           проблемы практики налогообложения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10B4" w:rsidRPr="00F839F7" w:rsidRDefault="000C10B4" w:rsidP="000C10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начала  оказания Ус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 по н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астоящему Договору -  </w:t>
      </w:r>
      <w:r w:rsidR="00E6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E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8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87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окончания оказания услуг «</w:t>
      </w:r>
      <w:r w:rsidR="00DE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E96B32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1A8F" w:rsidRDefault="00F61A8F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CB598E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программы</w:t>
      </w:r>
      <w:r w:rsidR="000A48D0" w:rsidRPr="000A4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DE72F0" w:rsidRPr="00DE72F0" w:rsidTr="00F61A8F">
        <w:tc>
          <w:tcPr>
            <w:tcW w:w="1702" w:type="dxa"/>
          </w:tcPr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DE7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88" w:type="dxa"/>
          </w:tcPr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DE7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DE72F0" w:rsidRPr="00DE72F0" w:rsidTr="00F61A8F">
        <w:tc>
          <w:tcPr>
            <w:tcW w:w="1702" w:type="dxa"/>
          </w:tcPr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28.11.2024</w:t>
            </w: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DE72F0" w:rsidRPr="00DE72F0" w:rsidRDefault="00DE72F0" w:rsidP="00DE72F0">
            <w:pPr>
              <w:spacing w:after="0" w:line="240" w:lineRule="auto"/>
              <w:ind w:left="175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Персональные данны</w:t>
            </w:r>
            <w:r w:rsidR="00E57D21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е: риски, эффективный контроль.</w:t>
            </w:r>
            <w:bookmarkStart w:id="0" w:name="_GoBack"/>
            <w:bookmarkEnd w:id="0"/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DE72F0" w:rsidRPr="00DE72F0" w:rsidRDefault="00DE72F0" w:rsidP="00DE72F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>Алгоритм работы с персональными данными</w:t>
            </w:r>
          </w:p>
          <w:p w:rsidR="00DE72F0" w:rsidRPr="00DE72F0" w:rsidRDefault="00DE72F0" w:rsidP="00DE72F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b/>
                <w:lang w:eastAsia="ru-RU"/>
              </w:rPr>
              <w:t>Новые штрафы</w:t>
            </w:r>
            <w:r w:rsidRPr="00DE72F0">
              <w:rPr>
                <w:rFonts w:eastAsia="Times New Roman" w:cstheme="minorHAnsi"/>
                <w:lang w:eastAsia="ru-RU"/>
              </w:rPr>
              <w:t xml:space="preserve"> за ненадлежащую обработку персональных данных – законопроект. Обезличивание персональных данных – кто обязан это делать. Видеонаблюдение – мнение судов, </w:t>
            </w:r>
            <w:proofErr w:type="spellStart"/>
            <w:r w:rsidRPr="00DE72F0">
              <w:rPr>
                <w:rFonts w:eastAsia="Times New Roman" w:cstheme="minorHAnsi"/>
                <w:lang w:eastAsia="ru-RU"/>
              </w:rPr>
              <w:t>Роскомнадзора</w:t>
            </w:r>
            <w:proofErr w:type="spellEnd"/>
            <w:r w:rsidRPr="00DE72F0">
              <w:rPr>
                <w:rFonts w:eastAsia="Times New Roman" w:cstheme="minorHAnsi"/>
                <w:lang w:eastAsia="ru-RU"/>
              </w:rPr>
              <w:t xml:space="preserve"> и Минтруда о том, как работодателю не нарушить закон</w:t>
            </w:r>
          </w:p>
          <w:p w:rsidR="00DE72F0" w:rsidRPr="00DE72F0" w:rsidRDefault="00DE72F0" w:rsidP="00DE72F0">
            <w:pPr>
              <w:spacing w:after="0" w:line="240" w:lineRule="auto"/>
              <w:ind w:left="175"/>
              <w:contextualSpacing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Интеллектуальная собственность: некоторые особенности осуществления режима «Ноу-хау»</w:t>
            </w:r>
          </w:p>
          <w:p w:rsidR="00DE72F0" w:rsidRPr="00DE72F0" w:rsidRDefault="00DE72F0" w:rsidP="00DE72F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>Общее понятие интеллектуальной собственности и варианты ее оформления. Источники возникновения. Что может относиться к ноу-хау. Преимущества и недостатки.  Рекомендации по охране ноу-хау.</w:t>
            </w:r>
          </w:p>
        </w:tc>
      </w:tr>
      <w:tr w:rsidR="00DE72F0" w:rsidRPr="00DE72F0" w:rsidTr="00F61A8F">
        <w:tc>
          <w:tcPr>
            <w:tcW w:w="1702" w:type="dxa"/>
          </w:tcPr>
          <w:p w:rsidR="00DE72F0" w:rsidRPr="00DE72F0" w:rsidRDefault="00DE72F0" w:rsidP="00DE72F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29.11.2024</w:t>
            </w:r>
          </w:p>
          <w:p w:rsidR="00DE72F0" w:rsidRPr="00DE72F0" w:rsidRDefault="00DE72F0" w:rsidP="00DE72F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DE72F0" w:rsidRPr="00DE72F0" w:rsidRDefault="00DE72F0" w:rsidP="00DE72F0">
            <w:pPr>
              <w:spacing w:after="0" w:line="240" w:lineRule="auto"/>
              <w:ind w:left="175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Бухгалтерский учет и отчетность</w:t>
            </w:r>
          </w:p>
          <w:p w:rsidR="00DE72F0" w:rsidRPr="00DE72F0" w:rsidRDefault="00DE72F0" w:rsidP="00DE72F0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>МФ о дальнейшем развитии БУ.</w:t>
            </w:r>
          </w:p>
          <w:p w:rsidR="00DE72F0" w:rsidRPr="00DE72F0" w:rsidRDefault="00DE72F0" w:rsidP="00DE72F0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>Особенности  отчетной компании за 2024  в связи с законодательными изменениями. Состав бухгалтерской отчётности за 2024г. Влияние на отчетность 2024г изменений по налогу на прибыль.</w:t>
            </w:r>
          </w:p>
          <w:p w:rsidR="00DE72F0" w:rsidRPr="00DE72F0" w:rsidRDefault="00DE72F0" w:rsidP="00DE72F0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>Обязательный  аудит.  Исправление ошибок.</w:t>
            </w:r>
          </w:p>
          <w:p w:rsidR="00DE72F0" w:rsidRPr="00DE72F0" w:rsidRDefault="00DE72F0" w:rsidP="00DE72F0">
            <w:pPr>
              <w:spacing w:after="0" w:line="240" w:lineRule="auto"/>
              <w:ind w:left="175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ФСБУ 14/2022 «НЕМАТЕРИАЛЬНЫЕ АКТИВЫ»: практика применения в 2024г и влияние на отчетность                </w:t>
            </w:r>
          </w:p>
          <w:p w:rsidR="00DE72F0" w:rsidRPr="00DE72F0" w:rsidRDefault="00DE72F0" w:rsidP="00DE72F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DE72F0">
              <w:rPr>
                <w:rFonts w:eastAsia="Times New Roman" w:cstheme="minorHAnsi"/>
                <w:lang w:eastAsia="ru-RU"/>
              </w:rPr>
              <w:t xml:space="preserve">Основные новации в учете НМА и капитальных вложений в них.  Классификация НМА. Единица учета. Признание </w:t>
            </w:r>
            <w:proofErr w:type="gramStart"/>
            <w:r w:rsidRPr="00DE72F0">
              <w:rPr>
                <w:rFonts w:eastAsia="Times New Roman" w:cstheme="minorHAnsi"/>
                <w:lang w:eastAsia="ru-RU"/>
              </w:rPr>
              <w:t>малоценных</w:t>
            </w:r>
            <w:proofErr w:type="gramEnd"/>
            <w:r w:rsidRPr="00DE72F0">
              <w:rPr>
                <w:rFonts w:eastAsia="Times New Roman" w:cstheme="minorHAnsi"/>
                <w:lang w:eastAsia="ru-RU"/>
              </w:rPr>
              <w:t xml:space="preserve"> НМА. </w:t>
            </w:r>
          </w:p>
          <w:p w:rsidR="00DE72F0" w:rsidRPr="00DE72F0" w:rsidRDefault="00DE72F0" w:rsidP="00DE72F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>Оценка НМА: определение первоначальной стоимости, ее изменение (</w:t>
            </w:r>
            <w:proofErr w:type="spellStart"/>
            <w:r w:rsidRPr="00DE72F0">
              <w:rPr>
                <w:rFonts w:eastAsia="Times New Roman" w:cstheme="minorHAnsi"/>
                <w:lang w:eastAsia="ru-RU"/>
              </w:rPr>
              <w:t>дооценка</w:t>
            </w:r>
            <w:proofErr w:type="spellEnd"/>
            <w:r w:rsidRPr="00DE72F0">
              <w:rPr>
                <w:rFonts w:eastAsia="Times New Roman" w:cstheme="minorHAnsi"/>
                <w:lang w:eastAsia="ru-RU"/>
              </w:rPr>
              <w:t xml:space="preserve">, уценка). Изменение первоначальной стоимости НМА. </w:t>
            </w:r>
          </w:p>
          <w:p w:rsidR="00DE72F0" w:rsidRPr="00DE72F0" w:rsidRDefault="00DE72F0" w:rsidP="00DE72F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 xml:space="preserve">Элементы </w:t>
            </w: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>амортизации</w:t>
            </w:r>
            <w:r w:rsidRPr="00DE72F0">
              <w:rPr>
                <w:rFonts w:eastAsia="Times New Roman" w:cstheme="minorHAnsi"/>
                <w:lang w:eastAsia="ru-RU"/>
              </w:rPr>
              <w:t>. Определение срока полезного использования. НМА с неопределенным сроком полезного использования (СПИ). Ликвидационная стоимость НМА. Способы амортизации НМА. Начало, приостановка и прекращение амортизации НМА. Пересмотр и изменение элементов амортизации. Списание НМА с учета</w:t>
            </w:r>
          </w:p>
          <w:p w:rsidR="00DE72F0" w:rsidRPr="00DE72F0" w:rsidRDefault="00DE72F0" w:rsidP="00DE72F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DE72F0">
              <w:rPr>
                <w:rFonts w:eastAsia="Times New Roman" w:cstheme="minorHAnsi"/>
                <w:lang w:eastAsia="ru-RU"/>
              </w:rPr>
              <w:t xml:space="preserve">Отражение НМА в отчетности. </w:t>
            </w:r>
          </w:p>
        </w:tc>
      </w:tr>
      <w:tr w:rsidR="00DE72F0" w:rsidRPr="00DE72F0" w:rsidTr="00F61A8F">
        <w:tc>
          <w:tcPr>
            <w:tcW w:w="1702" w:type="dxa"/>
          </w:tcPr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02.12.2024</w:t>
            </w: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DE72F0" w:rsidRPr="00DE72F0" w:rsidRDefault="00DE72F0" w:rsidP="00DE7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DE72F0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lastRenderedPageBreak/>
              <w:t>Зарплатные» налоги и сборы:</w:t>
            </w:r>
          </w:p>
          <w:p w:rsidR="00DE72F0" w:rsidRPr="00DE72F0" w:rsidRDefault="00DE72F0" w:rsidP="00DE72F0">
            <w:pPr>
              <w:numPr>
                <w:ilvl w:val="0"/>
                <w:numId w:val="12"/>
              </w:numPr>
              <w:spacing w:after="0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lastRenderedPageBreak/>
              <w:t xml:space="preserve">Меры  по  увеличению  сбора  НДФЛ,  борьба  с  незаконной  налоговой  оптимизацией,  территориальные  </w:t>
            </w:r>
          </w:p>
          <w:p w:rsidR="00DE72F0" w:rsidRPr="00DE72F0" w:rsidRDefault="00DE72F0" w:rsidP="00DE72F0">
            <w:p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>комиссии по противодействию нелегальной занятости.</w:t>
            </w:r>
          </w:p>
          <w:p w:rsidR="00DE72F0" w:rsidRPr="00DE72F0" w:rsidRDefault="00DE72F0" w:rsidP="00DE72F0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2024г: совокупность налоговых баз.</w:t>
            </w: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Особенность формирования налоговой базы по дивидендам.  Материальная выгода.  Форма 6-НДФЛ за 9 месяцев. Взаимоувязка разделов 6-НДФЛ с уведомлениями по НДФЛ.</w:t>
            </w:r>
          </w:p>
          <w:p w:rsidR="00DE72F0" w:rsidRPr="00DE72F0" w:rsidRDefault="00DE72F0" w:rsidP="00DE72F0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b/>
                <w:color w:val="943634" w:themeColor="accent2" w:themeShade="BF"/>
                <w:sz w:val="21"/>
                <w:szCs w:val="21"/>
              </w:rPr>
              <w:t>Реформа НДФЛ с 2025 года</w:t>
            </w:r>
            <w:r w:rsidRPr="00DE72F0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.</w:t>
            </w:r>
          </w:p>
          <w:p w:rsidR="00DE72F0" w:rsidRPr="00DE72F0" w:rsidRDefault="00DE72F0" w:rsidP="00DE72F0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Новые</w:t>
            </w: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совокупности налоговых баз и </w:t>
            </w:r>
            <w:r w:rsidRPr="00DE72F0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прогрессивная</w:t>
            </w: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шкала.  </w:t>
            </w:r>
          </w:p>
          <w:p w:rsidR="00DE72F0" w:rsidRPr="00DE72F0" w:rsidRDefault="00DE72F0" w:rsidP="00DE72F0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>Стандартные вычеты:</w:t>
            </w:r>
            <w:r w:rsidRPr="00DE72F0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 xml:space="preserve"> новые</w:t>
            </w: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виды, размеры и правила предоставления. </w:t>
            </w:r>
          </w:p>
          <w:p w:rsidR="00DE72F0" w:rsidRPr="00DE72F0" w:rsidRDefault="00DE72F0" w:rsidP="00DE72F0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>Введение особого порядка начисления НДФЛ при продаже долей в уставном капитале.</w:t>
            </w:r>
          </w:p>
          <w:p w:rsidR="00DE72F0" w:rsidRPr="00DE72F0" w:rsidRDefault="00DE72F0" w:rsidP="00DE72F0">
            <w:pPr>
              <w:numPr>
                <w:ilvl w:val="0"/>
                <w:numId w:val="12"/>
              </w:numPr>
              <w:spacing w:after="0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DE72F0">
              <w:rPr>
                <w:rFonts w:eastAsia="Calibri" w:cstheme="minorHAnsi"/>
                <w:color w:val="000000" w:themeColor="text1"/>
                <w:sz w:val="21"/>
                <w:szCs w:val="21"/>
              </w:rPr>
              <w:t>Автоматическое определение статуса налогового резидента с помощью АИС «Налог-3» с 2025 года.</w:t>
            </w:r>
          </w:p>
          <w:p w:rsidR="00DE72F0" w:rsidRPr="00DE72F0" w:rsidRDefault="00DE72F0" w:rsidP="00DE72F0">
            <w:pPr>
              <w:spacing w:line="240" w:lineRule="atLeast"/>
              <w:ind w:left="360"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DE72F0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2025г</w:t>
            </w:r>
            <w:proofErr w:type="gramStart"/>
            <w:r w:rsidRPr="00DE72F0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>ак изменятся тарифы страховых взносов с 2025 года, новый срок уплаты фиксированных платежей ИП.</w:t>
            </w:r>
          </w:p>
        </w:tc>
      </w:tr>
      <w:tr w:rsidR="00DE72F0" w:rsidRPr="00DE72F0" w:rsidTr="00F61A8F">
        <w:tc>
          <w:tcPr>
            <w:tcW w:w="1702" w:type="dxa"/>
          </w:tcPr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04.12.2024</w:t>
            </w: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DE72F0" w:rsidRPr="00DE72F0" w:rsidRDefault="00DE72F0" w:rsidP="00DE72F0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Новое в </w:t>
            </w:r>
            <w:proofErr w:type="gramStart"/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DE72F0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работодателем</w:t>
            </w:r>
          </w:p>
          <w:p w:rsidR="00DE72F0" w:rsidRPr="00DE72F0" w:rsidRDefault="00DE72F0" w:rsidP="00DE72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Закон «Об обязательных требованиях» и «регуляторная гильотина». Отмена моратория на проверки. 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Нормативное регулирование проверок: профилактические мероприятия, контрольно-надзорные мероприятия и контрольные действия. Положение о проверках ГИТ, регламент проверок трудовой инспекции;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Частота плановых проверок, перечни присвоенных категорий риска юридическим лицам и ИП-работодателям на 2025 год. 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Внеплановые проверки. Индикаторы риска для работодателей – когда проверка неизбежна. Новые индикаторы риска – октябрьский проект приказа Минтруда;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Действующая редакция </w:t>
            </w:r>
            <w:proofErr w:type="gramStart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чек-листов</w:t>
            </w:r>
            <w:proofErr w:type="gramEnd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плановых проверок работодателей. Самопроверки; 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Что проверяют: реестр обязательных требований, содержание и правила ведения реестра. За </w:t>
            </w:r>
            <w:proofErr w:type="gramStart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неисполнение</w:t>
            </w:r>
            <w:proofErr w:type="gramEnd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каких устаревших актов по-прежнему штрафуют;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 какой ответственности могут привлечь. Будет ли привлечен к ответственности руководитель. Законопроект о повышении ответственности за уклонение от проверки -  штраф до 1 </w:t>
            </w:r>
            <w:proofErr w:type="spellStart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млн</w:t>
            </w:r>
            <w:proofErr w:type="gramStart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.р</w:t>
            </w:r>
            <w:proofErr w:type="gramEnd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ублей</w:t>
            </w:r>
            <w:proofErr w:type="spellEnd"/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.  Штрафы инспекторам за отсутствие предписания по результатам проверки.</w:t>
            </w:r>
          </w:p>
          <w:p w:rsidR="00DE72F0" w:rsidRPr="00DE72F0" w:rsidRDefault="00DE72F0" w:rsidP="00DE72F0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sz w:val="20"/>
                <w:szCs w:val="20"/>
                <w:lang w:eastAsia="ru-RU"/>
              </w:rPr>
              <w:t>Правила обжалования решений, вынесенных по результатам контрольно-надзорных мероприятий (КНМ), сервис 360° - зачем он нужен и как работает</w:t>
            </w:r>
            <w:r w:rsidRPr="00DE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72F0" w:rsidRPr="00DE72F0" w:rsidTr="00F61A8F">
        <w:tc>
          <w:tcPr>
            <w:tcW w:w="1702" w:type="dxa"/>
          </w:tcPr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06.12.2024</w:t>
            </w: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DE72F0" w:rsidRPr="00DE72F0" w:rsidRDefault="00DE72F0" w:rsidP="00DE72F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E72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DE72F0" w:rsidRPr="00DE72F0" w:rsidRDefault="00DE72F0" w:rsidP="00DE72F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DE72F0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 xml:space="preserve">Налоговое и неналоговое администрирование </w:t>
            </w:r>
          </w:p>
          <w:p w:rsidR="00DE72F0" w:rsidRPr="00DE72F0" w:rsidRDefault="00DE72F0" w:rsidP="00DE72F0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Новые </w:t>
            </w: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сервисы ФНС.</w:t>
            </w:r>
          </w:p>
          <w:p w:rsidR="00DE72F0" w:rsidRPr="00DE72F0" w:rsidRDefault="00DE72F0" w:rsidP="00DE72F0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Изменения в проведении корпоративных процедур:</w:t>
            </w:r>
          </w:p>
          <w:p w:rsidR="00DE72F0" w:rsidRPr="00DE72F0" w:rsidRDefault="00DE72F0" w:rsidP="00DE72F0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нотариальное удостоверение назначения директора;</w:t>
            </w:r>
          </w:p>
          <w:p w:rsidR="00DE72F0" w:rsidRPr="00DE72F0" w:rsidRDefault="00DE72F0" w:rsidP="00DE72F0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дистанционное проведение общих собраний участников (акционеров);</w:t>
            </w:r>
          </w:p>
          <w:p w:rsidR="00DE72F0" w:rsidRPr="00DE72F0" w:rsidRDefault="00DE72F0" w:rsidP="00DE72F0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урегулирование механизмов выплаты дивидендов «потерянным» акционерам.</w:t>
            </w:r>
          </w:p>
          <w:p w:rsidR="00DE72F0" w:rsidRPr="00DE72F0" w:rsidRDefault="00DE72F0" w:rsidP="00DE72F0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Закон о госконтроле: новшества. Мораторий на проверки:  сентябрьские изменения</w:t>
            </w:r>
            <w:proofErr w:type="gramStart"/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Новые основания для проверок бизнеса .</w:t>
            </w:r>
          </w:p>
          <w:p w:rsidR="00DE72F0" w:rsidRPr="00DE72F0" w:rsidRDefault="00DE72F0" w:rsidP="00DE72F0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Новый порядок взаимодействия Роспотребнадзора и  ФНС: новые риски для бизнеса. Как избежать штрафов.</w:t>
            </w:r>
          </w:p>
          <w:p w:rsidR="00DE72F0" w:rsidRPr="00DE72F0" w:rsidRDefault="00DE72F0" w:rsidP="00DE72F0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b/>
                <w:color w:val="000099"/>
                <w:sz w:val="21"/>
                <w:szCs w:val="21"/>
              </w:rPr>
            </w:pPr>
            <w:r w:rsidRPr="00DE72F0">
              <w:rPr>
                <w:rFonts w:ascii="Calibri" w:eastAsia="Calibri" w:hAnsi="Calibri" w:cs="Times New Roman"/>
                <w:b/>
                <w:color w:val="000099"/>
                <w:sz w:val="21"/>
                <w:szCs w:val="21"/>
              </w:rPr>
              <w:t>Изменения по ККТ и кассовым операциям.</w:t>
            </w:r>
          </w:p>
          <w:p w:rsidR="00DE72F0" w:rsidRPr="00DE72F0" w:rsidRDefault="00DE72F0" w:rsidP="00DE72F0">
            <w:pPr>
              <w:spacing w:after="0" w:line="240" w:lineRule="auto"/>
              <w:ind w:left="720" w:hanging="720"/>
              <w:contextualSpacing/>
              <w:rPr>
                <w:rFonts w:eastAsia="Times New Roman" w:cstheme="minorHAnsi"/>
                <w:b/>
                <w:color w:val="C00000"/>
                <w:lang w:eastAsia="ru-RU"/>
              </w:rPr>
            </w:pPr>
            <w:r w:rsidRPr="00DE72F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НДС: обзор основных изменений, практические вопросы исчисления и уплаты налога </w:t>
            </w:r>
          </w:p>
          <w:p w:rsidR="00DE72F0" w:rsidRPr="00DE72F0" w:rsidRDefault="00DE72F0" w:rsidP="00DE72F0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851" w:hanging="425"/>
              <w:contextualSpacing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DE72F0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С 1 октября 2024г</w:t>
            </w:r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 - обновленные счета-фактуры. Основные новшества</w:t>
            </w:r>
            <w:proofErr w:type="gramStart"/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:rsidR="00DE72F0" w:rsidRPr="00DE72F0" w:rsidRDefault="00DE72F0" w:rsidP="00DE72F0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851" w:hanging="425"/>
              <w:contextualSpacing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DE72F0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Судебная практика</w:t>
            </w:r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по применению гл. 21 НК. Разъяснения ФНС и МФ.</w:t>
            </w:r>
          </w:p>
          <w:p w:rsidR="00DE72F0" w:rsidRPr="00DE72F0" w:rsidRDefault="00DE72F0" w:rsidP="00DE72F0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851" w:hanging="425"/>
              <w:contextualSpacing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DE72F0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На что обратить внимание</w:t>
            </w:r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и как подготовиться к работе с субъектами  УСН, в связи с введением для них   с 2025г  обязанности  по  уплате  НДС</w:t>
            </w:r>
            <w:proofErr w:type="gramStart"/>
            <w:r w:rsidRPr="00DE72F0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</w:tr>
    </w:tbl>
    <w:p w:rsidR="00DE72F0" w:rsidRPr="00DE72F0" w:rsidRDefault="00DE72F0" w:rsidP="00DE72F0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63F7C" w:rsidRDefault="00363F7C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9F7" w:rsidRPr="000A48D0" w:rsidRDefault="00F839F7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  составляет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</w:t>
      </w:r>
      <w:proofErr w:type="gram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была предоставлена ссылка доступа к трансляции и онлайн-трансляция мероприятия Исполнителем был</w:t>
      </w:r>
      <w:proofErr w:type="gram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51" w:type="dxa"/>
        <w:tblInd w:w="87" w:type="dxa"/>
        <w:tblLook w:val="04A0" w:firstRow="1" w:lastRow="0" w:firstColumn="1" w:lastColumn="0" w:noHBand="0" w:noVBand="1"/>
      </w:tblPr>
      <w:tblGrid>
        <w:gridCol w:w="4853"/>
        <w:gridCol w:w="5798"/>
      </w:tblGrid>
      <w:tr w:rsidR="000A48D0" w:rsidRPr="000A48D0" w:rsidTr="0047175A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BC0686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DF2A4D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 w:rsid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798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F53D1D" w:rsidRDefault="00F53D1D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F53D1D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F53D1D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proofErr w:type="gramStart"/>
      <w:r w:rsidR="00DE7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48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610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E72F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DE72F0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705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семинаров  (онла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йн-трансляций) по теме: «</w:t>
      </w:r>
      <w:r w:rsidR="00F61A8F" w:rsidRPr="00F61A8F">
        <w:rPr>
          <w:rFonts w:ascii="Times New Roman" w:eastAsia="Times New Roman" w:hAnsi="Times New Roman" w:cs="Times New Roman"/>
          <w:color w:val="000000"/>
          <w:lang w:eastAsia="ru-RU"/>
        </w:rPr>
        <w:t>Новое в нормативном регулировании и актуальные  проблемы практики налогообложения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  <w:tab w:val="left" w:leader="underscore" w:pos="9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Срок начала  оказания Услуг (начала зан</w:t>
      </w:r>
      <w:r w:rsidR="000C10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71136">
        <w:rPr>
          <w:rFonts w:ascii="Times New Roman" w:eastAsia="Times New Roman" w:hAnsi="Times New Roman" w:cs="Times New Roman"/>
          <w:color w:val="000000"/>
          <w:lang w:eastAsia="ru-RU"/>
        </w:rPr>
        <w:t xml:space="preserve">тий) по настоящему Договору: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61A8F">
        <w:rPr>
          <w:rFonts w:ascii="Times New Roman" w:eastAsia="Times New Roman" w:hAnsi="Times New Roman" w:cs="Times New Roman"/>
          <w:color w:val="000000"/>
          <w:lang w:eastAsia="ru-RU"/>
        </w:rPr>
        <w:t>28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</w:t>
      </w:r>
      <w:r w:rsidR="00A6617D">
        <w:rPr>
          <w:rFonts w:ascii="Times New Roman" w:eastAsia="Times New Roman" w:hAnsi="Times New Roman" w:cs="Times New Roman"/>
          <w:color w:val="000000"/>
          <w:lang w:eastAsia="ru-RU"/>
        </w:rPr>
        <w:t>рок окончания оказан</w:t>
      </w:r>
      <w:r w:rsidR="00F61A8F">
        <w:rPr>
          <w:rFonts w:ascii="Times New Roman" w:eastAsia="Times New Roman" w:hAnsi="Times New Roman" w:cs="Times New Roman"/>
          <w:color w:val="000000"/>
          <w:lang w:eastAsia="ru-RU"/>
        </w:rPr>
        <w:t>ия услуг «6</w:t>
      </w:r>
      <w:r w:rsidR="0087436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61A8F">
        <w:rPr>
          <w:rFonts w:ascii="Times New Roman" w:eastAsia="Times New Roman" w:hAnsi="Times New Roman" w:cs="Times New Roman"/>
          <w:color w:val="000000"/>
          <w:lang w:eastAsia="ru-RU"/>
        </w:rPr>
        <w:t>декабря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 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8506" w:type="dxa"/>
        <w:tblInd w:w="-176" w:type="dxa"/>
        <w:tblLook w:val="04A0" w:firstRow="1" w:lastRow="0" w:firstColumn="1" w:lastColumn="0" w:noHBand="0" w:noVBand="1"/>
      </w:tblPr>
      <w:tblGrid>
        <w:gridCol w:w="4537"/>
        <w:gridCol w:w="3969"/>
      </w:tblGrid>
      <w:tr w:rsidR="000A48D0" w:rsidRPr="000A48D0" w:rsidTr="006A3A10">
        <w:trPr>
          <w:trHeight w:val="4410"/>
        </w:trPr>
        <w:tc>
          <w:tcPr>
            <w:tcW w:w="453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ED3C69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3969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6A3A10">
          <w:type w:val="continuous"/>
          <w:pgSz w:w="11909" w:h="16834" w:code="9"/>
          <w:pgMar w:top="24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92" w:rsidRDefault="00CD2192">
      <w:pPr>
        <w:spacing w:after="0" w:line="240" w:lineRule="auto"/>
      </w:pPr>
      <w:r>
        <w:separator/>
      </w:r>
    </w:p>
  </w:endnote>
  <w:endnote w:type="continuationSeparator" w:id="0">
    <w:p w:rsidR="00CD2192" w:rsidRDefault="00C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92" w:rsidRDefault="00CD2192">
      <w:pPr>
        <w:spacing w:after="0" w:line="240" w:lineRule="auto"/>
      </w:pPr>
      <w:r>
        <w:separator/>
      </w:r>
    </w:p>
  </w:footnote>
  <w:footnote w:type="continuationSeparator" w:id="0">
    <w:p w:rsidR="00CD2192" w:rsidRDefault="00CD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CD21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3F4F"/>
    <w:multiLevelType w:val="hybridMultilevel"/>
    <w:tmpl w:val="D8FE18CE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1AA4"/>
    <w:multiLevelType w:val="multilevel"/>
    <w:tmpl w:val="5B5C47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B0042"/>
    <w:multiLevelType w:val="hybridMultilevel"/>
    <w:tmpl w:val="FE88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5A44"/>
    <w:multiLevelType w:val="hybridMultilevel"/>
    <w:tmpl w:val="FE6615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4569B"/>
    <w:multiLevelType w:val="hybridMultilevel"/>
    <w:tmpl w:val="961E6E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C5020E"/>
    <w:multiLevelType w:val="multilevel"/>
    <w:tmpl w:val="F51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547E2553"/>
    <w:multiLevelType w:val="hybridMultilevel"/>
    <w:tmpl w:val="460E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A7673"/>
    <w:multiLevelType w:val="hybridMultilevel"/>
    <w:tmpl w:val="F02C887A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04D4C"/>
    <w:multiLevelType w:val="hybridMultilevel"/>
    <w:tmpl w:val="56B60ADA"/>
    <w:lvl w:ilvl="0" w:tplc="0F9E95C8">
      <w:start w:val="1"/>
      <w:numFmt w:val="bullet"/>
      <w:lvlText w:val="‒"/>
      <w:lvlJc w:val="left"/>
      <w:pPr>
        <w:ind w:left="948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2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4">
    <w:nsid w:val="60225313"/>
    <w:multiLevelType w:val="hybridMultilevel"/>
    <w:tmpl w:val="EABE3D74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4C399A"/>
    <w:multiLevelType w:val="hybridMultilevel"/>
    <w:tmpl w:val="21F28B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8F6702A"/>
    <w:multiLevelType w:val="hybridMultilevel"/>
    <w:tmpl w:val="590EFF94"/>
    <w:lvl w:ilvl="0" w:tplc="5A5C14E4">
      <w:start w:val="1"/>
      <w:numFmt w:val="bullet"/>
      <w:lvlText w:val=""/>
      <w:lvlJc w:val="left"/>
      <w:pPr>
        <w:tabs>
          <w:tab w:val="num" w:pos="360"/>
        </w:tabs>
        <w:ind w:left="3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7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AB6B56"/>
    <w:multiLevelType w:val="hybridMultilevel"/>
    <w:tmpl w:val="3FE6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6F97395B"/>
    <w:multiLevelType w:val="hybridMultilevel"/>
    <w:tmpl w:val="25907202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97D1A"/>
    <w:multiLevelType w:val="hybridMultilevel"/>
    <w:tmpl w:val="434654F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7"/>
  </w:num>
  <w:num w:numId="9">
    <w:abstractNumId w:val="7"/>
  </w:num>
  <w:num w:numId="10">
    <w:abstractNumId w:val="6"/>
  </w:num>
  <w:num w:numId="11">
    <w:abstractNumId w:val="29"/>
  </w:num>
  <w:num w:numId="12">
    <w:abstractNumId w:val="16"/>
  </w:num>
  <w:num w:numId="13">
    <w:abstractNumId w:val="0"/>
  </w:num>
  <w:num w:numId="14">
    <w:abstractNumId w:val="32"/>
  </w:num>
  <w:num w:numId="15">
    <w:abstractNumId w:val="26"/>
  </w:num>
  <w:num w:numId="16">
    <w:abstractNumId w:val="24"/>
  </w:num>
  <w:num w:numId="17">
    <w:abstractNumId w:val="3"/>
  </w:num>
  <w:num w:numId="18">
    <w:abstractNumId w:val="25"/>
  </w:num>
  <w:num w:numId="19">
    <w:abstractNumId w:val="9"/>
  </w:num>
  <w:num w:numId="20">
    <w:abstractNumId w:val="31"/>
  </w:num>
  <w:num w:numId="21">
    <w:abstractNumId w:val="21"/>
  </w:num>
  <w:num w:numId="22">
    <w:abstractNumId w:val="20"/>
  </w:num>
  <w:num w:numId="23">
    <w:abstractNumId w:val="12"/>
  </w:num>
  <w:num w:numId="24">
    <w:abstractNumId w:val="19"/>
  </w:num>
  <w:num w:numId="25">
    <w:abstractNumId w:val="27"/>
  </w:num>
  <w:num w:numId="26">
    <w:abstractNumId w:val="28"/>
  </w:num>
  <w:num w:numId="27">
    <w:abstractNumId w:val="1"/>
  </w:num>
  <w:num w:numId="28">
    <w:abstractNumId w:val="30"/>
  </w:num>
  <w:num w:numId="29">
    <w:abstractNumId w:val="5"/>
  </w:num>
  <w:num w:numId="30">
    <w:abstractNumId w:val="13"/>
  </w:num>
  <w:num w:numId="31">
    <w:abstractNumId w:val="18"/>
  </w:num>
  <w:num w:numId="32">
    <w:abstractNumId w:val="15"/>
  </w:num>
  <w:num w:numId="33">
    <w:abstractNumId w:val="33"/>
  </w:num>
  <w:num w:numId="3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A48D0"/>
    <w:rsid w:val="000B0208"/>
    <w:rsid w:val="000C10B4"/>
    <w:rsid w:val="00100BA5"/>
    <w:rsid w:val="001063D7"/>
    <w:rsid w:val="00106AFE"/>
    <w:rsid w:val="00112E4A"/>
    <w:rsid w:val="0015313F"/>
    <w:rsid w:val="00170E40"/>
    <w:rsid w:val="00175DAA"/>
    <w:rsid w:val="0018571F"/>
    <w:rsid w:val="001C654D"/>
    <w:rsid w:val="0020524C"/>
    <w:rsid w:val="00231C55"/>
    <w:rsid w:val="00242C6A"/>
    <w:rsid w:val="00250D2B"/>
    <w:rsid w:val="002764C9"/>
    <w:rsid w:val="002A0D2B"/>
    <w:rsid w:val="002A1890"/>
    <w:rsid w:val="002C3A9F"/>
    <w:rsid w:val="00300019"/>
    <w:rsid w:val="00326206"/>
    <w:rsid w:val="003574DD"/>
    <w:rsid w:val="00363F7C"/>
    <w:rsid w:val="00387E2C"/>
    <w:rsid w:val="003C73A8"/>
    <w:rsid w:val="003E6D9C"/>
    <w:rsid w:val="003F3141"/>
    <w:rsid w:val="004034DA"/>
    <w:rsid w:val="0041038F"/>
    <w:rsid w:val="0042110D"/>
    <w:rsid w:val="00432EA9"/>
    <w:rsid w:val="004655A2"/>
    <w:rsid w:val="00485CDE"/>
    <w:rsid w:val="004D1682"/>
    <w:rsid w:val="004E03C1"/>
    <w:rsid w:val="00507D7C"/>
    <w:rsid w:val="005101A6"/>
    <w:rsid w:val="005253FA"/>
    <w:rsid w:val="005B232F"/>
    <w:rsid w:val="005C18E2"/>
    <w:rsid w:val="005F12C2"/>
    <w:rsid w:val="005F2D70"/>
    <w:rsid w:val="00602864"/>
    <w:rsid w:val="006039C0"/>
    <w:rsid w:val="00610C8D"/>
    <w:rsid w:val="0063352A"/>
    <w:rsid w:val="00644EE7"/>
    <w:rsid w:val="00661EBB"/>
    <w:rsid w:val="00664376"/>
    <w:rsid w:val="00676C06"/>
    <w:rsid w:val="006A3A10"/>
    <w:rsid w:val="00700423"/>
    <w:rsid w:val="00710648"/>
    <w:rsid w:val="0074036B"/>
    <w:rsid w:val="007725D3"/>
    <w:rsid w:val="00780B2B"/>
    <w:rsid w:val="007A6AB2"/>
    <w:rsid w:val="007B39EF"/>
    <w:rsid w:val="007C0F26"/>
    <w:rsid w:val="007D4529"/>
    <w:rsid w:val="00871136"/>
    <w:rsid w:val="0087436F"/>
    <w:rsid w:val="00881C22"/>
    <w:rsid w:val="00890044"/>
    <w:rsid w:val="008A553A"/>
    <w:rsid w:val="008C3AE3"/>
    <w:rsid w:val="00902666"/>
    <w:rsid w:val="009574D1"/>
    <w:rsid w:val="00975384"/>
    <w:rsid w:val="00980F86"/>
    <w:rsid w:val="00984385"/>
    <w:rsid w:val="009B6FFF"/>
    <w:rsid w:val="00A13F94"/>
    <w:rsid w:val="00A223D1"/>
    <w:rsid w:val="00A24ED0"/>
    <w:rsid w:val="00A6617D"/>
    <w:rsid w:val="00B07FE2"/>
    <w:rsid w:val="00B62BA7"/>
    <w:rsid w:val="00B70839"/>
    <w:rsid w:val="00B743AF"/>
    <w:rsid w:val="00B9664A"/>
    <w:rsid w:val="00BA4D11"/>
    <w:rsid w:val="00BB2E6E"/>
    <w:rsid w:val="00BC0686"/>
    <w:rsid w:val="00C00020"/>
    <w:rsid w:val="00C22705"/>
    <w:rsid w:val="00C24BC2"/>
    <w:rsid w:val="00C347EA"/>
    <w:rsid w:val="00CA5FCB"/>
    <w:rsid w:val="00CB598E"/>
    <w:rsid w:val="00CD2192"/>
    <w:rsid w:val="00CE5978"/>
    <w:rsid w:val="00CF128B"/>
    <w:rsid w:val="00D0086F"/>
    <w:rsid w:val="00D54972"/>
    <w:rsid w:val="00D851BC"/>
    <w:rsid w:val="00D8739F"/>
    <w:rsid w:val="00D953F3"/>
    <w:rsid w:val="00D9765C"/>
    <w:rsid w:val="00DA714A"/>
    <w:rsid w:val="00DC224C"/>
    <w:rsid w:val="00DE72F0"/>
    <w:rsid w:val="00DF2A4D"/>
    <w:rsid w:val="00E05C2E"/>
    <w:rsid w:val="00E146A5"/>
    <w:rsid w:val="00E57D21"/>
    <w:rsid w:val="00E67346"/>
    <w:rsid w:val="00E818F6"/>
    <w:rsid w:val="00E96B32"/>
    <w:rsid w:val="00EB4048"/>
    <w:rsid w:val="00ED3C69"/>
    <w:rsid w:val="00EF2450"/>
    <w:rsid w:val="00EF6F57"/>
    <w:rsid w:val="00F26F22"/>
    <w:rsid w:val="00F53D1D"/>
    <w:rsid w:val="00F61A8F"/>
    <w:rsid w:val="00F839F7"/>
    <w:rsid w:val="00FA4E85"/>
    <w:rsid w:val="00FA6AD1"/>
    <w:rsid w:val="00FB3C8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2024-10-24T06:41:00Z</dcterms:created>
  <dcterms:modified xsi:type="dcterms:W3CDTF">2024-10-24T14:16:00Z</dcterms:modified>
</cp:coreProperties>
</file>