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F53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F53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End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B7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7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90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D87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881C2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43AF" w:rsidRPr="00B7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и бухгалтерский учет. Изменения в законодательстве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5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52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DA7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525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88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CB598E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программы</w:t>
      </w:r>
      <w:r w:rsidR="000A48D0"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F53D1D" w:rsidRPr="00F53D1D" w:rsidTr="005F00E1">
        <w:tc>
          <w:tcPr>
            <w:tcW w:w="1702" w:type="dxa"/>
          </w:tcPr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F53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12" w:type="dxa"/>
          </w:tcPr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F53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F53D1D" w:rsidRPr="00F53D1D" w:rsidTr="005F00E1">
        <w:tc>
          <w:tcPr>
            <w:tcW w:w="1702" w:type="dxa"/>
          </w:tcPr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04.12.2023</w:t>
            </w: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F53D1D" w:rsidRPr="00F53D1D" w:rsidRDefault="00F53D1D" w:rsidP="00F53D1D">
            <w:pPr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Новое в трудовом законодательстве и судебной практике в 2023 году. Воинский учет (отчетность). Отдельные вопросы учета персональных данных. Планируемые изменения с 2024 г</w:t>
            </w:r>
          </w:p>
          <w:p w:rsidR="00F53D1D" w:rsidRPr="00F53D1D" w:rsidRDefault="00F53D1D" w:rsidP="00F53D1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F53D1D">
              <w:rPr>
                <w:rFonts w:eastAsia="Calibri" w:cstheme="minorHAnsi"/>
                <w:color w:val="000000" w:themeColor="text1"/>
              </w:rPr>
              <w:t>Решения КС 2023г (запрет на лишение премий,</w:t>
            </w:r>
            <w:r w:rsidRPr="00F53D1D">
              <w:rPr>
                <w:rFonts w:eastAsia="Calibri" w:cstheme="minorHAnsi"/>
                <w:color w:val="000000" w:themeColor="text1"/>
              </w:rPr>
              <w:tab/>
              <w:t>оплата сверхурочной работы по-новому, выплата выходных пособий и др.) и ожидаемые изменения в ТК РФ.</w:t>
            </w:r>
          </w:p>
          <w:p w:rsidR="00F53D1D" w:rsidRPr="00F53D1D" w:rsidRDefault="00F53D1D" w:rsidP="00F53D1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F53D1D">
              <w:rPr>
                <w:rFonts w:eastAsia="Calibri" w:cstheme="minorHAnsi"/>
                <w:color w:val="000000" w:themeColor="text1"/>
              </w:rPr>
              <w:t xml:space="preserve">Обзор иных изменений трудового законодательства: труд водителей, сопровождение трудовой деятельности инвалидов, дополнительные выходные дни работникам по уходу за детьми-инвалидами,  оформление медицинских книжек в электронном виде, труд несовершеннолетних. </w:t>
            </w:r>
          </w:p>
          <w:p w:rsidR="00F53D1D" w:rsidRPr="00F53D1D" w:rsidRDefault="00F53D1D" w:rsidP="00F53D1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F53D1D">
              <w:rPr>
                <w:rFonts w:eastAsia="Calibri" w:cstheme="minorHAnsi"/>
                <w:color w:val="000000" w:themeColor="text1"/>
              </w:rPr>
              <w:t>Воинский учет: организация учета  и годовая отчетность.</w:t>
            </w:r>
          </w:p>
          <w:p w:rsidR="00F53D1D" w:rsidRPr="00F53D1D" w:rsidRDefault="00F53D1D" w:rsidP="00F53D1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F53D1D">
              <w:rPr>
                <w:rFonts w:eastAsia="Calibri" w:cstheme="minorHAnsi"/>
                <w:color w:val="000000" w:themeColor="text1"/>
              </w:rPr>
              <w:t>Отдельные вопросы учета персональных данных.</w:t>
            </w:r>
          </w:p>
          <w:p w:rsidR="00F53D1D" w:rsidRPr="00F53D1D" w:rsidRDefault="00F53D1D" w:rsidP="00F53D1D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0"/>
                <w:szCs w:val="24"/>
              </w:rPr>
            </w:pPr>
            <w:r w:rsidRPr="00F53D1D">
              <w:rPr>
                <w:rFonts w:eastAsia="Times New Roman" w:cstheme="minorHAnsi"/>
                <w:i/>
                <w:color w:val="000000" w:themeColor="text1"/>
                <w:lang w:eastAsia="ru-RU"/>
              </w:rPr>
              <w:t xml:space="preserve">Ведущий: </w:t>
            </w:r>
            <w:proofErr w:type="spellStart"/>
            <w:r w:rsidRPr="00F53D1D">
              <w:rPr>
                <w:rFonts w:eastAsia="Times New Roman" w:cstheme="minorHAnsi"/>
                <w:i/>
                <w:color w:val="000000" w:themeColor="text1"/>
                <w:lang w:eastAsia="ru-RU"/>
              </w:rPr>
              <w:t>Русецкая</w:t>
            </w:r>
            <w:proofErr w:type="spellEnd"/>
            <w:r w:rsidRPr="00F53D1D">
              <w:rPr>
                <w:rFonts w:eastAsia="Times New Roman" w:cstheme="minorHAnsi"/>
                <w:i/>
                <w:color w:val="000000" w:themeColor="text1"/>
                <w:lang w:eastAsia="ru-RU"/>
              </w:rPr>
              <w:t xml:space="preserve"> О.В.</w:t>
            </w:r>
          </w:p>
        </w:tc>
      </w:tr>
      <w:tr w:rsidR="00F53D1D" w:rsidRPr="00F53D1D" w:rsidTr="005F00E1">
        <w:tc>
          <w:tcPr>
            <w:tcW w:w="1702" w:type="dxa"/>
          </w:tcPr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06.12.2023</w:t>
            </w: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F53D1D" w:rsidRPr="00F53D1D" w:rsidRDefault="00F53D1D" w:rsidP="00F53D1D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Налог на прибыль: шаг за шагом.</w:t>
            </w:r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Изменения  в НК РФ в части налога на прибыль и разъяснения МФ.</w:t>
            </w:r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Особенности формирования налоговой базы. </w:t>
            </w:r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Отдельные вопросы доходов.</w:t>
            </w:r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Актуальные вопросы признания отдельных расходов: расходы на основные средства, на арендованное имущество, на лизинговое имущество, материальные расходы, расходы на оплату труда, документальное оформление, создание резервов  и пр. Судебная практика.</w:t>
            </w:r>
          </w:p>
          <w:p w:rsidR="00F53D1D" w:rsidRPr="00F53D1D" w:rsidRDefault="00F53D1D" w:rsidP="00F53D1D">
            <w:pPr>
              <w:spacing w:after="0" w:line="240" w:lineRule="auto"/>
              <w:ind w:left="720" w:hanging="720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НДС: новеллы, практика исчисления</w:t>
            </w:r>
          </w:p>
          <w:p w:rsidR="00F53D1D" w:rsidRPr="00F53D1D" w:rsidRDefault="00F53D1D" w:rsidP="00F53D1D">
            <w:pPr>
              <w:numPr>
                <w:ilvl w:val="0"/>
                <w:numId w:val="10"/>
              </w:numPr>
              <w:spacing w:after="0" w:line="240" w:lineRule="atLeast"/>
              <w:ind w:left="742" w:hanging="1178"/>
              <w:contextualSpacing/>
              <w:rPr>
                <w:rFonts w:eastAsia="Calibri" w:cstheme="minorHAnsi"/>
                <w:color w:val="000000" w:themeColor="text1"/>
              </w:rPr>
            </w:pPr>
            <w:r w:rsidRPr="00F53D1D">
              <w:rPr>
                <w:rFonts w:eastAsia="Calibri" w:cstheme="minorHAnsi"/>
                <w:color w:val="000000" w:themeColor="text1"/>
              </w:rPr>
              <w:t>Изменения в законодательстве (увеличен не облагаемый НДС лимит на рекламные товары, уточнили, когда определять налоговую базу по НДС при неподтвержденном экспорте, счет-фактуру дополнили новыми реквизитами и другие изменения).</w:t>
            </w:r>
          </w:p>
          <w:p w:rsidR="00F53D1D" w:rsidRPr="00F53D1D" w:rsidRDefault="00F53D1D" w:rsidP="00F53D1D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Calibri" w:cstheme="minorHAnsi"/>
                <w:color w:val="000000" w:themeColor="text1"/>
              </w:rPr>
            </w:pPr>
            <w:r w:rsidRPr="00F53D1D">
              <w:rPr>
                <w:rFonts w:eastAsia="Calibri" w:cstheme="minorHAnsi"/>
                <w:color w:val="000000" w:themeColor="text1"/>
              </w:rPr>
              <w:t>Особенности исчисления НДС, декларация по НДС, разъяснения Минфина и ФНС, судебная практика.</w:t>
            </w:r>
          </w:p>
          <w:p w:rsidR="00F53D1D" w:rsidRPr="00F53D1D" w:rsidRDefault="00F53D1D" w:rsidP="00F53D1D">
            <w:pPr>
              <w:spacing w:after="0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:rsidR="00F53D1D" w:rsidRPr="00F53D1D" w:rsidRDefault="00F53D1D" w:rsidP="00F53D1D">
            <w:pPr>
              <w:spacing w:after="0" w:line="240" w:lineRule="auto"/>
              <w:rPr>
                <w:rFonts w:eastAsia="Times New Roman" w:cstheme="minorHAnsi"/>
                <w:i/>
                <w:color w:val="C00000"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i/>
                <w:color w:val="000000" w:themeColor="text1"/>
                <w:lang w:eastAsia="ru-RU"/>
              </w:rPr>
              <w:t>Ведущий:  Самарина И.М.</w:t>
            </w:r>
          </w:p>
        </w:tc>
      </w:tr>
      <w:tr w:rsidR="00F53D1D" w:rsidRPr="00F53D1D" w:rsidTr="005F00E1">
        <w:tc>
          <w:tcPr>
            <w:tcW w:w="1702" w:type="dxa"/>
          </w:tcPr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08.12.2023</w:t>
            </w: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F53D1D" w:rsidRPr="00F53D1D" w:rsidRDefault="00F53D1D" w:rsidP="00F53D1D">
            <w:pPr>
              <w:spacing w:after="0" w:line="240" w:lineRule="auto"/>
              <w:ind w:left="175" w:hanging="57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lastRenderedPageBreak/>
              <w:t xml:space="preserve">ФСБУ 28/2022 «ИНВЕНТАРИЗАЦИЯ».               </w:t>
            </w:r>
          </w:p>
          <w:p w:rsidR="00F53D1D" w:rsidRPr="00F53D1D" w:rsidRDefault="00F53D1D" w:rsidP="00F53D1D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Сфера применения. Объекты инвентаризации. Случаи проведения инвентаризации, </w:t>
            </w: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 xml:space="preserve">периодичность, объем и сроки. </w:t>
            </w:r>
          </w:p>
          <w:p w:rsidR="00F53D1D" w:rsidRPr="00F53D1D" w:rsidRDefault="00F53D1D" w:rsidP="00F53D1D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Правила организации процесса; порядок отражения результатов инвентаризации в бухгалтерском учете; правила оформления инвентаризационных документов. Проверка наличия объектов, не являющихся активами и обязательствами.</w:t>
            </w:r>
          </w:p>
          <w:p w:rsidR="00F53D1D" w:rsidRPr="00F53D1D" w:rsidRDefault="00F53D1D" w:rsidP="00F53D1D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Результаты инвентаризации: излишки, недостачи и другие расхождения. Отражение результатов инвентаризации в учете и бухгалтерской отчетности.</w:t>
            </w:r>
            <w:r w:rsidRPr="00F5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3D1D" w:rsidRPr="00F53D1D" w:rsidRDefault="00F53D1D" w:rsidP="00F53D1D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ФСБУ 14/2022 «НЕМАТЕРИАЛЬНЫЕ АКТИВЫ» - обязательный переход с 2024г. </w:t>
            </w: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F53D1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Вопросы налогового учета НМА.            </w:t>
            </w:r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Основные новации в учете нематериальных активов и капитальных вложений в них.  Состав НМА</w:t>
            </w:r>
            <w:proofErr w:type="gramStart"/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Классификация НМА. Единица учета. Признание </w:t>
            </w:r>
            <w:proofErr w:type="gramStart"/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малоценных</w:t>
            </w:r>
            <w:proofErr w:type="gramEnd"/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НМА. </w:t>
            </w:r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Оценка НМА: определение первоначальной стоимости, ее изменение (</w:t>
            </w:r>
            <w:proofErr w:type="spellStart"/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дооценка</w:t>
            </w:r>
            <w:proofErr w:type="spellEnd"/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уценка). Запрет на переоценку деловой репутации, товарных знаков, фирменных наименований и пр. Вариантность списания </w:t>
            </w:r>
            <w:proofErr w:type="spellStart"/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дооценки</w:t>
            </w:r>
            <w:proofErr w:type="spellEnd"/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Изменение первоначальной стоимости НМА. </w:t>
            </w:r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Амортизация НМА. Определение срока полезного использования, амортизация НМА, документальное «сопровождение». НМА с неопределенным сроком полезного использования (СПИ). Ликвидационная стоимость НМА. Способы амортизации НМА. Начало, приостановка и прекращение амортизации НМА. Пересмотр и изменение элементов амортизации. Списание НМА с учета</w:t>
            </w:r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>Отражение НМА в отчетности</w:t>
            </w:r>
            <w:r w:rsidRPr="00F5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53D1D" w:rsidRPr="00F53D1D" w:rsidRDefault="00F53D1D" w:rsidP="00F53D1D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F53D1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Переходные положения, упрощенный способ перехода на новые правила. </w:t>
            </w:r>
          </w:p>
          <w:p w:rsidR="00F53D1D" w:rsidRPr="00F53D1D" w:rsidRDefault="00F53D1D" w:rsidP="00F53D1D">
            <w:pPr>
              <w:spacing w:after="0" w:line="240" w:lineRule="auto"/>
              <w:ind w:left="60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D1D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НМА: вопросы  налогового учета. Изменения 2023г</w:t>
            </w:r>
          </w:p>
          <w:p w:rsidR="00F53D1D" w:rsidRPr="00F53D1D" w:rsidRDefault="00F53D1D" w:rsidP="00F53D1D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eastAsia="Times New Roman" w:cstheme="minorHAnsi"/>
                <w:i/>
                <w:color w:val="000000" w:themeColor="text1"/>
                <w:lang w:eastAsia="ru-RU"/>
              </w:rPr>
              <w:t>Ведущий:  Самарина И.М.</w:t>
            </w:r>
          </w:p>
        </w:tc>
      </w:tr>
      <w:tr w:rsidR="00F53D1D" w:rsidRPr="00F53D1D" w:rsidTr="005F00E1">
        <w:tc>
          <w:tcPr>
            <w:tcW w:w="1702" w:type="dxa"/>
          </w:tcPr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A714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</w:t>
            </w: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.12.2023</w:t>
            </w: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F53D1D" w:rsidRPr="00F53D1D" w:rsidRDefault="00F53D1D" w:rsidP="00F53D1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Налоговое и неналоговое администрирование </w:t>
            </w:r>
          </w:p>
          <w:p w:rsidR="00F53D1D" w:rsidRPr="00F53D1D" w:rsidRDefault="00F53D1D" w:rsidP="00F53D1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Перспективы</w:t>
            </w: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администрирования н/плательщиков </w:t>
            </w:r>
          </w:p>
          <w:p w:rsidR="00F53D1D" w:rsidRPr="00F53D1D" w:rsidRDefault="00F53D1D" w:rsidP="00F53D1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Упрощена процедура ликвидации организации</w:t>
            </w: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, относящейся к субъектам МСП.</w:t>
            </w:r>
          </w:p>
          <w:p w:rsidR="00F53D1D" w:rsidRPr="00F53D1D" w:rsidRDefault="00F53D1D" w:rsidP="00F53D1D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Обновлены </w:t>
            </w: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показатели для самостоятельной оценки налоговых рисков</w:t>
            </w:r>
          </w:p>
          <w:p w:rsidR="00F53D1D" w:rsidRPr="00F53D1D" w:rsidRDefault="00F53D1D" w:rsidP="00F53D1D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Новый сервис</w:t>
            </w: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: реестр субсидиарных ответчиков </w:t>
            </w:r>
          </w:p>
          <w:p w:rsidR="00F53D1D" w:rsidRPr="00F53D1D" w:rsidRDefault="00F53D1D" w:rsidP="00F53D1D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Отдельные вопросы налогового контроля</w:t>
            </w:r>
          </w:p>
          <w:p w:rsidR="00F53D1D" w:rsidRPr="00F53D1D" w:rsidRDefault="00F53D1D" w:rsidP="00F53D1D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ЕНС  2023-2024</w:t>
            </w:r>
          </w:p>
          <w:p w:rsidR="00F53D1D" w:rsidRPr="00F53D1D" w:rsidRDefault="00F53D1D" w:rsidP="00F53D1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 xml:space="preserve">Изменения 2023г в </w:t>
            </w: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 правилах работы ЕНС</w:t>
            </w:r>
            <w:proofErr w:type="gramStart"/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Перспективы 2024г</w:t>
            </w:r>
          </w:p>
          <w:p w:rsidR="00F53D1D" w:rsidRPr="00F53D1D" w:rsidRDefault="00F53D1D" w:rsidP="00F53D1D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Ключевые вопросы нового порядка взаимодействия.</w:t>
            </w:r>
          </w:p>
          <w:p w:rsidR="00F53D1D" w:rsidRPr="00F53D1D" w:rsidRDefault="00F53D1D" w:rsidP="00F53D1D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 каких случаях уведомление для ЕНП будет  считаться не представленным </w:t>
            </w:r>
          </w:p>
          <w:p w:rsidR="00F53D1D" w:rsidRPr="00F53D1D" w:rsidRDefault="00F53D1D" w:rsidP="00F53D1D">
            <w:pPr>
              <w:numPr>
                <w:ilvl w:val="0"/>
                <w:numId w:val="19"/>
              </w:numPr>
              <w:spacing w:after="0" w:line="240" w:lineRule="atLeas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Отрицательные уведомления</w:t>
            </w:r>
            <w:proofErr w:type="gramStart"/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Отмена п/п со статусом «02».</w:t>
            </w:r>
          </w:p>
          <w:p w:rsidR="00F53D1D" w:rsidRPr="00F53D1D" w:rsidRDefault="00F53D1D" w:rsidP="00F53D1D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C00000"/>
                <w:sz w:val="20"/>
                <w:szCs w:val="24"/>
              </w:rPr>
            </w:pPr>
            <w:r w:rsidRPr="00F53D1D">
              <w:rPr>
                <w:rFonts w:eastAsia="Times New Roman" w:cstheme="minorHAnsi"/>
                <w:i/>
                <w:color w:val="000000" w:themeColor="text1"/>
                <w:lang w:eastAsia="ru-RU"/>
              </w:rPr>
              <w:t>Ведущий:  Самарина И.М.</w:t>
            </w:r>
          </w:p>
        </w:tc>
      </w:tr>
      <w:tr w:rsidR="00F53D1D" w:rsidRPr="00F53D1D" w:rsidTr="005F00E1">
        <w:tc>
          <w:tcPr>
            <w:tcW w:w="1702" w:type="dxa"/>
          </w:tcPr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DA714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.12.2023</w:t>
            </w: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F53D1D" w:rsidRPr="00F53D1D" w:rsidRDefault="00F53D1D" w:rsidP="00F53D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F53D1D" w:rsidRPr="00F53D1D" w:rsidRDefault="00F53D1D" w:rsidP="00F5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F53D1D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Зарплатные» налоги и сборы:</w:t>
            </w:r>
          </w:p>
          <w:p w:rsidR="00F53D1D" w:rsidRPr="00F53D1D" w:rsidRDefault="00F53D1D" w:rsidP="00F53D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Налоговые изменения (налоговые ставки, </w:t>
            </w:r>
            <w:proofErr w:type="spellStart"/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>удаленщики</w:t>
            </w:r>
            <w:proofErr w:type="spellEnd"/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новые лимиты и сверхлимитные компенсации и </w:t>
            </w:r>
            <w:proofErr w:type="spellStart"/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>т</w:t>
            </w:r>
            <w:proofErr w:type="gramStart"/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>)</w:t>
            </w:r>
          </w:p>
          <w:p w:rsidR="00F53D1D" w:rsidRPr="00F53D1D" w:rsidRDefault="00F53D1D" w:rsidP="00F53D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b/>
                <w:color w:val="000099"/>
                <w:sz w:val="20"/>
                <w:szCs w:val="20"/>
                <w:lang w:eastAsia="ru-RU"/>
              </w:rPr>
              <w:t>Новые правила</w:t>
            </w:r>
            <w:r w:rsidRPr="00F53D1D">
              <w:rPr>
                <w:rFonts w:eastAsia="Times New Roman" w:cstheme="minorHAnsi"/>
                <w:color w:val="000099"/>
                <w:sz w:val="20"/>
                <w:szCs w:val="20"/>
                <w:lang w:eastAsia="ru-RU"/>
              </w:rPr>
              <w:t xml:space="preserve"> </w:t>
            </w:r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>по НДФЛ в 2024</w:t>
            </w:r>
            <w:proofErr w:type="gramStart"/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что учесть при уплате налога и подаче уведомлений.</w:t>
            </w:r>
          </w:p>
          <w:p w:rsidR="00F53D1D" w:rsidRPr="00F53D1D" w:rsidRDefault="00F53D1D" w:rsidP="00F53D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F53D1D">
              <w:rPr>
                <w:rFonts w:eastAsia="Times New Roman" w:cstheme="minorHAnsi"/>
                <w:sz w:val="20"/>
                <w:szCs w:val="20"/>
                <w:lang w:eastAsia="ru-RU"/>
              </w:rPr>
              <w:t>КБК по НДФЛ в 2023г</w:t>
            </w:r>
            <w:r w:rsidRPr="00F53D1D">
              <w:rPr>
                <w:rFonts w:eastAsia="Calibri" w:cstheme="minorHAnsi"/>
              </w:rPr>
              <w:t xml:space="preserve"> </w:t>
            </w:r>
          </w:p>
          <w:p w:rsidR="00F53D1D" w:rsidRPr="00F53D1D" w:rsidRDefault="00F53D1D" w:rsidP="00F53D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F53D1D">
              <w:rPr>
                <w:rFonts w:eastAsia="Calibri" w:cstheme="minorHAnsi"/>
                <w:b/>
              </w:rPr>
              <w:t>6-НДФЛ</w:t>
            </w:r>
            <w:proofErr w:type="gramStart"/>
            <w:r w:rsidRPr="00F53D1D">
              <w:rPr>
                <w:rFonts w:eastAsia="Calibri" w:cstheme="minorHAnsi"/>
              </w:rPr>
              <w:t xml:space="preserve"> :</w:t>
            </w:r>
            <w:proofErr w:type="gramEnd"/>
            <w:r w:rsidRPr="00F53D1D">
              <w:rPr>
                <w:rFonts w:eastAsia="Calibri" w:cstheme="minorHAnsi"/>
              </w:rPr>
              <w:t xml:space="preserve"> нюансы</w:t>
            </w:r>
            <w:r w:rsidRPr="00F53D1D">
              <w:rPr>
                <w:rFonts w:eastAsia="Calibri" w:cstheme="minorHAnsi"/>
                <w:b/>
              </w:rPr>
              <w:t xml:space="preserve"> заполнения</w:t>
            </w:r>
            <w:r w:rsidRPr="00F53D1D">
              <w:rPr>
                <w:rFonts w:eastAsia="Calibri" w:cstheme="minorHAnsi"/>
              </w:rPr>
              <w:t>. Разъяснения ФНС и МФ</w:t>
            </w:r>
            <w:r w:rsidRPr="00F53D1D">
              <w:rPr>
                <w:rFonts w:eastAsia="Calibri" w:cstheme="minorHAnsi"/>
                <w:color w:val="000000" w:themeColor="text1"/>
              </w:rPr>
              <w:t>.</w:t>
            </w:r>
          </w:p>
          <w:p w:rsidR="00F53D1D" w:rsidRPr="00F53D1D" w:rsidRDefault="00F53D1D" w:rsidP="00F53D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F53D1D">
              <w:rPr>
                <w:rFonts w:eastAsia="Calibri" w:cstheme="minorHAnsi"/>
                <w:color w:val="000000" w:themeColor="text1"/>
              </w:rPr>
              <w:t xml:space="preserve">Единый тариф взносов раздробили, норме придали обратную силу с 01.01.2023. Кому и как надо делать перерасчет. </w:t>
            </w:r>
            <w:r w:rsidRPr="00F53D1D">
              <w:rPr>
                <w:rFonts w:eastAsia="Calibri" w:cstheme="minorHAnsi"/>
                <w:b/>
                <w:color w:val="000000" w:themeColor="text1"/>
              </w:rPr>
              <w:t>Новая форма</w:t>
            </w:r>
            <w:r w:rsidRPr="00F53D1D">
              <w:rPr>
                <w:rFonts w:eastAsia="Calibri" w:cstheme="minorHAnsi"/>
                <w:color w:val="000000" w:themeColor="text1"/>
              </w:rPr>
              <w:t xml:space="preserve"> отчетности.</w:t>
            </w:r>
          </w:p>
          <w:p w:rsidR="00F53D1D" w:rsidRPr="00F53D1D" w:rsidRDefault="00F53D1D" w:rsidP="00F53D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eastAsia="Calibri" w:cstheme="minorHAnsi"/>
              </w:rPr>
              <w:t>ФНС о льготах по страховым взносам.</w:t>
            </w:r>
          </w:p>
          <w:p w:rsidR="00F53D1D" w:rsidRPr="00F53D1D" w:rsidRDefault="00F53D1D" w:rsidP="00F53D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53D1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Сведения </w:t>
            </w:r>
            <w:r w:rsidRPr="00F53D1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о персонифицированных</w:t>
            </w: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 данных физлиц и суммах выплат.  Исправление ошибок.</w:t>
            </w:r>
          </w:p>
          <w:p w:rsidR="00F53D1D" w:rsidRPr="00F53D1D" w:rsidRDefault="00F53D1D" w:rsidP="00F53D1D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Минтруд о заполнении ЕФС-1   на подрядчиков</w:t>
            </w:r>
          </w:p>
          <w:p w:rsidR="00F53D1D" w:rsidRPr="00F53D1D" w:rsidRDefault="00F53D1D" w:rsidP="00F53D1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F53D1D">
              <w:rPr>
                <w:rFonts w:eastAsia="Times New Roman" w:cstheme="minorHAnsi"/>
                <w:i/>
                <w:color w:val="000000" w:themeColor="text1"/>
                <w:lang w:eastAsia="ru-RU"/>
              </w:rPr>
              <w:t>Ведущий:  Самарина И.М.</w:t>
            </w:r>
          </w:p>
        </w:tc>
      </w:tr>
    </w:tbl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счета-фактуры и осуществляет расчеты без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F53D1D" w:rsidRDefault="00F53D1D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ectPr w:rsidR="00F53D1D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F53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АКТ №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F53D1D">
          <w:type w:val="continuous"/>
          <w:pgSz w:w="11909" w:h="16834" w:code="9"/>
          <w:pgMar w:top="249" w:right="709" w:bottom="568" w:left="427" w:header="720" w:footer="0" w:gutter="0"/>
          <w:cols w:space="391"/>
          <w:noEndnote/>
          <w:titlePg/>
          <w:docGrid w:linePitch="299"/>
        </w:sectPr>
      </w:pPr>
    </w:p>
    <w:p w:rsidR="000A48D0" w:rsidRPr="00661EBB" w:rsidRDefault="000A48D0" w:rsidP="00F53D1D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F5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="00FB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-уц/ск</w:t>
      </w:r>
      <w:proofErr w:type="gramStart"/>
      <w:r w:rsidR="00F53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="00FB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B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FB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74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22705" w:rsidRPr="00C2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.2023г</w:t>
      </w: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53D1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DA714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43AF">
        <w:rPr>
          <w:rFonts w:ascii="Times New Roman" w:eastAsia="Times New Roman" w:hAnsi="Times New Roman" w:cs="Times New Roman"/>
          <w:color w:val="000000"/>
          <w:lang w:eastAsia="ru-RU"/>
        </w:rPr>
        <w:t>дека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бря</w:t>
      </w:r>
      <w:r w:rsidR="00FB3C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2705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B743AF" w:rsidRPr="00B743AF">
        <w:rPr>
          <w:rFonts w:ascii="Times New Roman" w:eastAsia="Times New Roman" w:hAnsi="Times New Roman" w:cs="Times New Roman"/>
          <w:b/>
          <w:color w:val="000000"/>
          <w:lang w:eastAsia="ru-RU"/>
        </w:rPr>
        <w:t>Налоги и бухгалтерский учет. Изменения в законодательстве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тий) по настоящему Договору: 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53D1D">
        <w:rPr>
          <w:rFonts w:ascii="Times New Roman" w:eastAsia="Times New Roman" w:hAnsi="Times New Roman" w:cs="Times New Roman"/>
          <w:color w:val="000000"/>
          <w:lang w:eastAsia="ru-RU"/>
        </w:rPr>
        <w:t>04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53D1D">
        <w:rPr>
          <w:rFonts w:ascii="Times New Roman" w:eastAsia="Times New Roman" w:hAnsi="Times New Roman" w:cs="Times New Roman"/>
          <w:color w:val="000000"/>
          <w:lang w:eastAsia="ru-RU"/>
        </w:rPr>
        <w:t>дека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бря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</w:t>
      </w:r>
      <w:r w:rsidR="00A6617D">
        <w:rPr>
          <w:rFonts w:ascii="Times New Roman" w:eastAsia="Times New Roman" w:hAnsi="Times New Roman" w:cs="Times New Roman"/>
          <w:color w:val="000000"/>
          <w:lang w:eastAsia="ru-RU"/>
        </w:rPr>
        <w:t>рок окончания оказан</w:t>
      </w:r>
      <w:r w:rsidR="00F53D1D">
        <w:rPr>
          <w:rFonts w:ascii="Times New Roman" w:eastAsia="Times New Roman" w:hAnsi="Times New Roman" w:cs="Times New Roman"/>
          <w:color w:val="000000"/>
          <w:lang w:eastAsia="ru-RU"/>
        </w:rPr>
        <w:t>ия услуг «1</w:t>
      </w:r>
      <w:r w:rsidR="00DA714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bookmarkStart w:id="0" w:name="_GoBack"/>
      <w:bookmarkEnd w:id="0"/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B743AF">
        <w:rPr>
          <w:rFonts w:ascii="Times New Roman" w:eastAsia="Times New Roman" w:hAnsi="Times New Roman" w:cs="Times New Roman"/>
          <w:color w:val="000000"/>
          <w:lang w:eastAsia="ru-RU"/>
        </w:rPr>
        <w:t>дека</w:t>
      </w:r>
      <w:r w:rsidR="005253FA">
        <w:rPr>
          <w:rFonts w:ascii="Times New Roman" w:eastAsia="Times New Roman" w:hAnsi="Times New Roman" w:cs="Times New Roman"/>
          <w:color w:val="000000"/>
          <w:lang w:eastAsia="ru-RU"/>
        </w:rPr>
        <w:t>бря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  <w:proofErr w:type="gramStart"/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DA" w:rsidRDefault="004034DA">
      <w:pPr>
        <w:spacing w:after="0" w:line="240" w:lineRule="auto"/>
      </w:pPr>
      <w:r>
        <w:separator/>
      </w:r>
    </w:p>
  </w:endnote>
  <w:endnote w:type="continuationSeparator" w:id="0">
    <w:p w:rsidR="004034DA" w:rsidRDefault="0040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DA" w:rsidRDefault="004034DA">
      <w:pPr>
        <w:spacing w:after="0" w:line="240" w:lineRule="auto"/>
      </w:pPr>
      <w:r>
        <w:separator/>
      </w:r>
    </w:p>
  </w:footnote>
  <w:footnote w:type="continuationSeparator" w:id="0">
    <w:p w:rsidR="004034DA" w:rsidRDefault="0040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403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F4F"/>
    <w:multiLevelType w:val="hybridMultilevel"/>
    <w:tmpl w:val="D8FE18CE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1AA4"/>
    <w:multiLevelType w:val="multilevel"/>
    <w:tmpl w:val="5B5C47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4569B"/>
    <w:multiLevelType w:val="hybridMultilevel"/>
    <w:tmpl w:val="961E6E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C5020E"/>
    <w:multiLevelType w:val="multilevel"/>
    <w:tmpl w:val="F51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E2553"/>
    <w:multiLevelType w:val="hybridMultilevel"/>
    <w:tmpl w:val="460E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7673"/>
    <w:multiLevelType w:val="hybridMultilevel"/>
    <w:tmpl w:val="F02C887A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04D4C"/>
    <w:multiLevelType w:val="hybridMultilevel"/>
    <w:tmpl w:val="56B60ADA"/>
    <w:lvl w:ilvl="0" w:tplc="0F9E95C8">
      <w:start w:val="1"/>
      <w:numFmt w:val="bullet"/>
      <w:lvlText w:val="‒"/>
      <w:lvlJc w:val="left"/>
      <w:pPr>
        <w:ind w:left="948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6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>
    <w:nsid w:val="60225313"/>
    <w:multiLevelType w:val="hybridMultilevel"/>
    <w:tmpl w:val="EABE3D74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C399A"/>
    <w:multiLevelType w:val="hybridMultilevel"/>
    <w:tmpl w:val="21F28B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8F6702A"/>
    <w:multiLevelType w:val="hybridMultilevel"/>
    <w:tmpl w:val="590EFF94"/>
    <w:lvl w:ilvl="0" w:tplc="5A5C14E4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1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7395B"/>
    <w:multiLevelType w:val="hybridMultilevel"/>
    <w:tmpl w:val="25907202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97D1A"/>
    <w:multiLevelType w:val="hybridMultilevel"/>
    <w:tmpl w:val="434654F8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1"/>
  </w:num>
  <w:num w:numId="12">
    <w:abstractNumId w:val="11"/>
  </w:num>
  <w:num w:numId="13">
    <w:abstractNumId w:val="0"/>
  </w:num>
  <w:num w:numId="14">
    <w:abstractNumId w:val="23"/>
  </w:num>
  <w:num w:numId="15">
    <w:abstractNumId w:val="20"/>
  </w:num>
  <w:num w:numId="16">
    <w:abstractNumId w:val="18"/>
  </w:num>
  <w:num w:numId="17">
    <w:abstractNumId w:val="2"/>
  </w:num>
  <w:num w:numId="18">
    <w:abstractNumId w:val="19"/>
  </w:num>
  <w:num w:numId="19">
    <w:abstractNumId w:val="7"/>
  </w:num>
  <w:num w:numId="20">
    <w:abstractNumId w:val="22"/>
  </w:num>
  <w:num w:numId="21">
    <w:abstractNumId w:val="15"/>
  </w:num>
  <w:num w:numId="22">
    <w:abstractNumId w:val="14"/>
  </w:num>
  <w:num w:numId="23">
    <w:abstractNumId w:val="10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B0208"/>
    <w:rsid w:val="000C10B4"/>
    <w:rsid w:val="00100BA5"/>
    <w:rsid w:val="001063D7"/>
    <w:rsid w:val="00106AFE"/>
    <w:rsid w:val="0015313F"/>
    <w:rsid w:val="00170E40"/>
    <w:rsid w:val="00175DAA"/>
    <w:rsid w:val="0018571F"/>
    <w:rsid w:val="001C654D"/>
    <w:rsid w:val="0020524C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63F7C"/>
    <w:rsid w:val="00387E2C"/>
    <w:rsid w:val="003C73A8"/>
    <w:rsid w:val="003E6D9C"/>
    <w:rsid w:val="003F3141"/>
    <w:rsid w:val="004034DA"/>
    <w:rsid w:val="0041038F"/>
    <w:rsid w:val="0042110D"/>
    <w:rsid w:val="00432EA9"/>
    <w:rsid w:val="004655A2"/>
    <w:rsid w:val="004E03C1"/>
    <w:rsid w:val="00507D7C"/>
    <w:rsid w:val="005101A6"/>
    <w:rsid w:val="005253FA"/>
    <w:rsid w:val="005B232F"/>
    <w:rsid w:val="00602864"/>
    <w:rsid w:val="00644EE7"/>
    <w:rsid w:val="00661EBB"/>
    <w:rsid w:val="00676C06"/>
    <w:rsid w:val="006A3A10"/>
    <w:rsid w:val="00700423"/>
    <w:rsid w:val="00710648"/>
    <w:rsid w:val="0074036B"/>
    <w:rsid w:val="007725D3"/>
    <w:rsid w:val="00780B2B"/>
    <w:rsid w:val="007A6AB2"/>
    <w:rsid w:val="007B39EF"/>
    <w:rsid w:val="007C0F26"/>
    <w:rsid w:val="00871136"/>
    <w:rsid w:val="0087436F"/>
    <w:rsid w:val="00881C22"/>
    <w:rsid w:val="00890044"/>
    <w:rsid w:val="008A553A"/>
    <w:rsid w:val="008C3AE3"/>
    <w:rsid w:val="00902666"/>
    <w:rsid w:val="009574D1"/>
    <w:rsid w:val="00975384"/>
    <w:rsid w:val="00984385"/>
    <w:rsid w:val="009B6FFF"/>
    <w:rsid w:val="00A13F94"/>
    <w:rsid w:val="00A223D1"/>
    <w:rsid w:val="00A24ED0"/>
    <w:rsid w:val="00A6617D"/>
    <w:rsid w:val="00B07FE2"/>
    <w:rsid w:val="00B62BA7"/>
    <w:rsid w:val="00B70839"/>
    <w:rsid w:val="00B743AF"/>
    <w:rsid w:val="00B9664A"/>
    <w:rsid w:val="00BA4D11"/>
    <w:rsid w:val="00BC0686"/>
    <w:rsid w:val="00C00020"/>
    <w:rsid w:val="00C22705"/>
    <w:rsid w:val="00C24BC2"/>
    <w:rsid w:val="00C347EA"/>
    <w:rsid w:val="00CA5FCB"/>
    <w:rsid w:val="00CB598E"/>
    <w:rsid w:val="00CE5978"/>
    <w:rsid w:val="00CF128B"/>
    <w:rsid w:val="00D54972"/>
    <w:rsid w:val="00D851BC"/>
    <w:rsid w:val="00D8739F"/>
    <w:rsid w:val="00D953F3"/>
    <w:rsid w:val="00D9765C"/>
    <w:rsid w:val="00DA714A"/>
    <w:rsid w:val="00DC224C"/>
    <w:rsid w:val="00DF2A4D"/>
    <w:rsid w:val="00E05C2E"/>
    <w:rsid w:val="00E146A5"/>
    <w:rsid w:val="00E67346"/>
    <w:rsid w:val="00E818F6"/>
    <w:rsid w:val="00E96B32"/>
    <w:rsid w:val="00EB4048"/>
    <w:rsid w:val="00ED3C69"/>
    <w:rsid w:val="00EF2450"/>
    <w:rsid w:val="00EF6F57"/>
    <w:rsid w:val="00F26F22"/>
    <w:rsid w:val="00F53D1D"/>
    <w:rsid w:val="00F839F7"/>
    <w:rsid w:val="00FA4E85"/>
    <w:rsid w:val="00FA6AD1"/>
    <w:rsid w:val="00FB3C86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2023-11-12T16:41:00Z</dcterms:created>
  <dcterms:modified xsi:type="dcterms:W3CDTF">2023-11-14T05:03:00Z</dcterms:modified>
</cp:coreProperties>
</file>