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9C6" w:rsidRPr="00AD59C6" w:rsidRDefault="00AD59C6" w:rsidP="00327F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27F75" w:rsidRPr="00327F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Годовой отчет – 2024г: бухгалтерский и налоговый.</w:t>
      </w:r>
      <w:r w:rsidR="00327F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7F75" w:rsidRPr="00327F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Разбираемся с изменениями с  2025г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:rsidR="00327F75" w:rsidRPr="00327F75" w:rsidRDefault="00327F75" w:rsidP="003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32"/>
          <w:szCs w:val="32"/>
          <w:lang w:eastAsia="ru-RU"/>
        </w:rPr>
      </w:pPr>
    </w:p>
    <w:p w:rsidR="00327F75" w:rsidRPr="00327F75" w:rsidRDefault="00327F75" w:rsidP="00327F75">
      <w:pPr>
        <w:spacing w:after="0" w:line="259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27F75">
        <w:rPr>
          <w:rFonts w:ascii="Calibri" w:eastAsia="Times New Roman" w:hAnsi="Calibri" w:cs="Calibri"/>
          <w:b/>
          <w:bCs/>
          <w:color w:val="0000CC"/>
          <w:sz w:val="24"/>
          <w:szCs w:val="24"/>
          <w:shd w:val="clear" w:color="auto" w:fill="FFFFFF"/>
          <w:lang w:eastAsia="ru-RU"/>
        </w:rPr>
        <w:t>1.</w:t>
      </w: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 Бухгалтерская (финансовая) отчетность за 2024 год. Ключевые новшества 2025г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Распоряжение Правительства РФ от 22.11.2024 №3386-р. Концепция развития бухгалтерского учёта до 2030 года: цели, основные направления, методология. 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ФСБУ 4/2023: годовая и промежуточная отчетность - новые положения. Нововведения по промежуточной отчетности.</w:t>
      </w:r>
      <w:r w:rsidRPr="00327F75">
        <w:rPr>
          <w:rFonts w:ascii="Calibri" w:eastAsia="Calibri" w:hAnsi="Calibri" w:cs="Times New Roman"/>
        </w:rPr>
        <w:t xml:space="preserve"> Пояснения как неотъемлемая  составляющая отчетности. </w:t>
      </w:r>
      <w:r w:rsidRPr="00327F75">
        <w:rPr>
          <w:rFonts w:ascii="Calibri" w:eastAsia="Calibri" w:hAnsi="Calibri" w:cs="Calibri"/>
          <w:color w:val="000000"/>
          <w:sz w:val="21"/>
          <w:szCs w:val="21"/>
        </w:rPr>
        <w:t>Подготовка к переходу на ФСБУ 4/2023.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Бухгалтерская отчетность за 2024г</w:t>
      </w:r>
      <w:proofErr w:type="gramStart"/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 :</w:t>
      </w:r>
      <w:proofErr w:type="gramEnd"/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 по каким правилам составлять. Обзор рекомендаций Минфина России, БМЦ, СРО ААС по  подготовке бухгалтерской отчетности  за 2024 год.  Отражение  итогов инвентаризации.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851" w:hanging="425"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Сложные вопросы применения ФСБУ 14/2022 и раскрытия информации в отчетности за 2024г (ПО, лицензии, объекты лицензионных договоров и пр.). Исправление ошибок. 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851" w:hanging="425"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Влияние на бухгалтерскую отчетность 2024г изменения с 01.01.2025г ставки по налогу на прибыль.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851" w:hanging="425"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Утрата права на упрощенные способы учета: необходимые мероприятия переходного периода.</w:t>
      </w:r>
    </w:p>
    <w:p w:rsidR="00327F75" w:rsidRPr="00327F75" w:rsidRDefault="00327F75" w:rsidP="00327F75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 Налоговое и неналоговое администрирование: зоны риска и важное для практики.</w:t>
      </w:r>
    </w:p>
    <w:p w:rsidR="00327F75" w:rsidRPr="00327F75" w:rsidRDefault="00327F75" w:rsidP="00327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2.1.  Общие вопросы  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Введение новых мер ответственности за нарушения в сфере налоговых правоотношений:</w:t>
      </w:r>
    </w:p>
    <w:p w:rsidR="00327F75" w:rsidRPr="00327F75" w:rsidRDefault="00327F75" w:rsidP="00327F7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Введение уголовной ответственности за фальсификацию счетов-фактур по ст. 173.3 УК РФ.</w:t>
      </w:r>
    </w:p>
    <w:p w:rsidR="00327F75" w:rsidRPr="00327F75" w:rsidRDefault="00327F75" w:rsidP="00327F7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Возможность привлечения по ст. 159 УКРФ при использовании «фиктивных» счетов-фактур.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Блокирование  отдельных  налоговых  схем:   налоговая миграция, введение ограничения по доходам для применения ПСН. Дробление бизнеса и амнистия – важные моменты.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Реестр нелегальной занятости.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Введение сбора за рекламу в Интернете. Пилотный проект ФНС по работе с маркетплейсами.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Туристический налог.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Штрафы за непредставление уведомлений о начале деятельности значительно выросли, а состав нарушений  расширен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С 1 января действуют новые контрольные соотношения по уведомлениям.</w:t>
      </w:r>
    </w:p>
    <w:p w:rsidR="00327F75" w:rsidRPr="00327F75" w:rsidRDefault="00327F75" w:rsidP="00327F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327F75">
        <w:rPr>
          <w:rFonts w:ascii="Times New Roman" w:eastAsia="Calibri" w:hAnsi="Times New Roman" w:cs="Times New Roman"/>
          <w:color w:val="000000"/>
          <w:sz w:val="21"/>
          <w:szCs w:val="21"/>
        </w:rPr>
        <w:t>Новый</w:t>
      </w:r>
      <w:r w:rsidRPr="00327F75">
        <w:rPr>
          <w:rFonts w:ascii="Calibri" w:eastAsia="Calibri" w:hAnsi="Calibri" w:cs="Times New Roman"/>
          <w:color w:val="000000"/>
          <w:sz w:val="21"/>
          <w:szCs w:val="21"/>
        </w:rPr>
        <w:t xml:space="preserve"> </w:t>
      </w:r>
      <w:r w:rsidRPr="00327F75">
        <w:rPr>
          <w:rFonts w:ascii="Times New Roman" w:eastAsia="Calibri" w:hAnsi="Times New Roman" w:cs="Times New Roman"/>
          <w:color w:val="000000"/>
          <w:sz w:val="21"/>
          <w:szCs w:val="21"/>
        </w:rPr>
        <w:t>порядок</w:t>
      </w:r>
      <w:r w:rsidRPr="00327F75">
        <w:rPr>
          <w:rFonts w:ascii="Calibri" w:eastAsia="Calibri" w:hAnsi="Calibri" w:cs="Times New Roman"/>
          <w:color w:val="000000"/>
          <w:sz w:val="21"/>
          <w:szCs w:val="21"/>
        </w:rPr>
        <w:t xml:space="preserve"> </w:t>
      </w:r>
      <w:r w:rsidRPr="00327F75">
        <w:rPr>
          <w:rFonts w:ascii="Times New Roman" w:eastAsia="Calibri" w:hAnsi="Times New Roman" w:cs="Times New Roman"/>
          <w:color w:val="000000"/>
          <w:sz w:val="21"/>
          <w:szCs w:val="21"/>
        </w:rPr>
        <w:t>начисления</w:t>
      </w:r>
      <w:r w:rsidRPr="00327F75">
        <w:rPr>
          <w:rFonts w:ascii="Calibri" w:eastAsia="Calibri" w:hAnsi="Calibri" w:cs="Times New Roman"/>
          <w:color w:val="000000"/>
          <w:sz w:val="21"/>
          <w:szCs w:val="21"/>
        </w:rPr>
        <w:t xml:space="preserve"> </w:t>
      </w:r>
      <w:r w:rsidRPr="00327F75">
        <w:rPr>
          <w:rFonts w:ascii="Times New Roman" w:eastAsia="Calibri" w:hAnsi="Times New Roman" w:cs="Times New Roman"/>
          <w:color w:val="000000"/>
          <w:sz w:val="21"/>
          <w:szCs w:val="21"/>
        </w:rPr>
        <w:t>пеней</w:t>
      </w:r>
      <w:r w:rsidRPr="00327F75">
        <w:rPr>
          <w:rFonts w:ascii="Calibri" w:eastAsia="Calibri" w:hAnsi="Calibri" w:cs="Times New Roman"/>
          <w:color w:val="000000"/>
          <w:sz w:val="21"/>
          <w:szCs w:val="21"/>
        </w:rPr>
        <w:t xml:space="preserve"> </w:t>
      </w:r>
      <w:r w:rsidRPr="00327F75">
        <w:rPr>
          <w:rFonts w:ascii="Times New Roman" w:eastAsia="Calibri" w:hAnsi="Times New Roman" w:cs="Times New Roman"/>
          <w:color w:val="000000"/>
          <w:sz w:val="21"/>
          <w:szCs w:val="21"/>
        </w:rPr>
        <w:t>на</w:t>
      </w:r>
      <w:r w:rsidRPr="00327F75">
        <w:rPr>
          <w:rFonts w:ascii="Calibri" w:eastAsia="Calibri" w:hAnsi="Calibri" w:cs="Times New Roman"/>
          <w:color w:val="000000"/>
          <w:sz w:val="21"/>
          <w:szCs w:val="21"/>
        </w:rPr>
        <w:t xml:space="preserve"> 2025 </w:t>
      </w:r>
      <w:r w:rsidRPr="00327F75">
        <w:rPr>
          <w:rFonts w:ascii="Times New Roman" w:eastAsia="Calibri" w:hAnsi="Times New Roman" w:cs="Times New Roman"/>
          <w:color w:val="000000"/>
          <w:sz w:val="21"/>
          <w:szCs w:val="21"/>
        </w:rPr>
        <w:t>год</w:t>
      </w:r>
      <w:r w:rsidRPr="00327F75">
        <w:rPr>
          <w:rFonts w:ascii="Calibri" w:eastAsia="Calibri" w:hAnsi="Calibri" w:cs="Times New Roman"/>
          <w:color w:val="000000"/>
          <w:sz w:val="21"/>
          <w:szCs w:val="21"/>
        </w:rPr>
        <w:t>. Отмена подтверждения ОКВЭД.  Новые КБК с 2025г.</w:t>
      </w:r>
    </w:p>
    <w:p w:rsidR="00327F75" w:rsidRPr="00327F75" w:rsidRDefault="00327F75" w:rsidP="00327F75">
      <w:pPr>
        <w:spacing w:after="0" w:line="240" w:lineRule="atLeast"/>
        <w:ind w:left="709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</w:p>
    <w:p w:rsidR="00327F75" w:rsidRPr="00327F75" w:rsidRDefault="00327F75" w:rsidP="00327F7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2.2. «Зарплатные» налоги и сборы: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hanging="283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 6-НДФЛ за 2024 год – особенности заполнения. Совокупность налоговых баз. Особенность </w:t>
      </w:r>
      <w:r w:rsidRPr="00327F75">
        <w:rPr>
          <w:rFonts w:ascii="Calibri" w:eastAsia="Calibri" w:hAnsi="Calibri" w:cs="Calibri"/>
          <w:color w:val="000000"/>
          <w:sz w:val="21"/>
          <w:szCs w:val="21"/>
        </w:rPr>
        <w:lastRenderedPageBreak/>
        <w:t>формирования налоговой базы по дивидендам.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hanging="283"/>
        <w:contextualSpacing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/>
          <w:color w:val="000000"/>
          <w:sz w:val="21"/>
          <w:szCs w:val="21"/>
        </w:rPr>
        <w:t>Реформа НДФЛ с 2025г</w:t>
      </w:r>
    </w:p>
    <w:p w:rsidR="00327F75" w:rsidRPr="00327F75" w:rsidRDefault="00327F75" w:rsidP="00327F7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новые ставки налога - как формировать базы, раздельный расчет по базам, порядок исчисления налога по отдельным группам (совокупностям) налоговых баз. НДФЛ с РК</w:t>
      </w:r>
    </w:p>
    <w:p w:rsidR="00327F75" w:rsidRPr="00327F75" w:rsidRDefault="00327F75" w:rsidP="00327F7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особенности расчета лимита для вычетов на детей, особенности расчета у нерезидентов и пр.</w:t>
      </w:r>
    </w:p>
    <w:p w:rsidR="00327F75" w:rsidRPr="00327F75" w:rsidRDefault="00327F75" w:rsidP="00327F7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отдельные  КБК по НДФЛ – как распределять вычеты, формировать 6-НДФЛ и уведомления по налогу.</w:t>
      </w:r>
    </w:p>
    <w:p w:rsidR="00327F75" w:rsidRPr="00327F75" w:rsidRDefault="00327F75" w:rsidP="00327F7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новые правила предоставления стандартных налоговых вычетов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283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Страховые взносы. </w:t>
      </w:r>
    </w:p>
    <w:p w:rsidR="00327F75" w:rsidRPr="00327F75" w:rsidRDefault="00327F75" w:rsidP="00327F7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обновление базовых экономических показателей: МРОТ (федеральный и региональный) и предельная база  для начисления страховых взносов</w:t>
      </w:r>
    </w:p>
    <w:p w:rsidR="00327F75" w:rsidRPr="00327F75" w:rsidRDefault="00327F75" w:rsidP="00327F7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дополнительное снижение ставок страховых взносов для СМП:  необходимость приведения в соответствие  кодов ОКВЭД</w:t>
      </w:r>
    </w:p>
    <w:p w:rsidR="00327F75" w:rsidRPr="00327F75" w:rsidRDefault="00327F75" w:rsidP="00327F7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увеличение  нагрузки  по  уплате  страховых  взносов  у  СМП  вследствие  увеличения  порога  регрессивной   шкалы и увеличения МРОТ.</w:t>
      </w:r>
    </w:p>
    <w:p w:rsidR="00327F75" w:rsidRPr="00327F75" w:rsidRDefault="00327F75" w:rsidP="00327F75">
      <w:pPr>
        <w:spacing w:before="100" w:beforeAutospacing="1" w:after="100" w:afterAutospacing="1" w:line="240" w:lineRule="atLeast"/>
        <w:ind w:left="720" w:hanging="720"/>
        <w:contextualSpacing/>
        <w:rPr>
          <w:rFonts w:ascii="Calibri" w:eastAsia="Calibri" w:hAnsi="Calibri" w:cs="Calibri"/>
          <w:b/>
          <w:color w:val="000000"/>
        </w:rPr>
      </w:pP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2.3.    НДС: обзор основных изменений, практические вопросы исчисления и уплаты налога </w:t>
      </w:r>
    </w:p>
    <w:p w:rsidR="00327F75" w:rsidRPr="00327F75" w:rsidRDefault="00327F75" w:rsidP="00327F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Изменения по НДС – 2025. Разъяснения  МФ. </w:t>
      </w:r>
    </w:p>
    <w:p w:rsidR="00327F75" w:rsidRPr="00327F75" w:rsidRDefault="00327F75" w:rsidP="00327F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Обзор свежей судебной практики по НДС.</w:t>
      </w:r>
    </w:p>
    <w:p w:rsidR="00327F75" w:rsidRPr="00327F75" w:rsidRDefault="00327F75" w:rsidP="00327F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color w:val="000000"/>
          <w:sz w:val="21"/>
          <w:szCs w:val="21"/>
        </w:rPr>
        <w:t>Отдельные вопросы  формирования налоговой базы по НДС (авансы, возвраты товара, исправленные и корректировочные счета-фактуры).</w:t>
      </w:r>
    </w:p>
    <w:p w:rsidR="00327F75" w:rsidRPr="00327F75" w:rsidRDefault="00327F75" w:rsidP="00327F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/>
          <w:color w:val="000000"/>
          <w:sz w:val="21"/>
          <w:szCs w:val="21"/>
        </w:rPr>
        <w:t xml:space="preserve">Особенности </w:t>
      </w:r>
      <w:r w:rsidRPr="00327F75">
        <w:rPr>
          <w:rFonts w:ascii="Calibri" w:eastAsia="Calibri" w:hAnsi="Calibri" w:cs="Calibri"/>
          <w:color w:val="000000"/>
          <w:sz w:val="21"/>
          <w:szCs w:val="21"/>
        </w:rPr>
        <w:t xml:space="preserve"> применения ставок у субъектов УСН с 2025г, переходные положения.</w:t>
      </w:r>
    </w:p>
    <w:p w:rsidR="00327F75" w:rsidRPr="00327F75" w:rsidRDefault="00327F75" w:rsidP="00327F75">
      <w:pPr>
        <w:spacing w:before="100" w:beforeAutospacing="1" w:after="100" w:afterAutospacing="1" w:line="240" w:lineRule="atLeast"/>
        <w:ind w:left="720" w:hanging="720"/>
        <w:contextualSpacing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2.4. Налог на прибыль: изменения и практика применения</w:t>
      </w:r>
    </w:p>
    <w:p w:rsidR="00327F75" w:rsidRPr="00327F75" w:rsidRDefault="00327F75" w:rsidP="00327F7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>Изменения по налогу на прибыль</w:t>
      </w:r>
      <w:proofErr w:type="gramStart"/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 :</w:t>
      </w:r>
      <w:proofErr w:type="gramEnd"/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 </w:t>
      </w:r>
    </w:p>
    <w:p w:rsidR="00327F75" w:rsidRPr="00327F75" w:rsidRDefault="00327F75" w:rsidP="00327F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993" w:hanging="284"/>
        <w:contextualSpacing/>
        <w:rPr>
          <w:rFonts w:ascii="Calibri" w:eastAsia="Calibri" w:hAnsi="Calibri" w:cs="Calibri"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продление   до   конца   2027   года   действующего   порядка   учёта   </w:t>
      </w:r>
      <w:proofErr w:type="gramStart"/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>курсовых</w:t>
      </w:r>
      <w:proofErr w:type="gramEnd"/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   разниц       по   непогашенным   обязательствам; </w:t>
      </w:r>
    </w:p>
    <w:p w:rsidR="00327F75" w:rsidRPr="00327F75" w:rsidRDefault="00327F75" w:rsidP="00327F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993" w:hanging="284"/>
        <w:contextualSpacing/>
        <w:rPr>
          <w:rFonts w:ascii="Calibri" w:eastAsia="Calibri" w:hAnsi="Calibri" w:cs="Calibri"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расширение </w:t>
      </w:r>
      <w:proofErr w:type="gramStart"/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>сферы применения повышающего коэффициента признания отдельных затрат</w:t>
      </w:r>
      <w:proofErr w:type="gramEnd"/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; </w:t>
      </w:r>
    </w:p>
    <w:p w:rsidR="00327F75" w:rsidRPr="00327F75" w:rsidRDefault="00327F75" w:rsidP="00327F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993" w:hanging="284"/>
        <w:contextualSpacing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введение запрета на признание «незаконных» рекламных расходов; </w:t>
      </w:r>
    </w:p>
    <w:p w:rsidR="00327F75" w:rsidRPr="00327F75" w:rsidRDefault="00327F75" w:rsidP="00327F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993" w:hanging="284"/>
        <w:contextualSpacing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 </w:t>
      </w:r>
      <w:r w:rsidRPr="00327F75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особенности учёта туристического налога; </w:t>
      </w:r>
    </w:p>
    <w:p w:rsidR="00327F75" w:rsidRPr="00327F75" w:rsidRDefault="00327F75" w:rsidP="00327F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993" w:hanging="284"/>
        <w:contextualSpacing/>
        <w:rPr>
          <w:rFonts w:ascii="Calibri" w:eastAsia="Calibri" w:hAnsi="Calibri" w:cs="Calibri"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введение федерального инвестиционного налогового вычета: условия применения 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993" w:hanging="567"/>
        <w:contextualSpacing/>
        <w:rPr>
          <w:rFonts w:ascii="Calibri" w:eastAsia="Calibri" w:hAnsi="Calibri" w:cs="Calibri"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>Отдельные вопросы  подготовки декларации по налогу на прибыль за 2024 год (разъяснения МФ, ФНС, судебная практика)</w:t>
      </w:r>
    </w:p>
    <w:p w:rsidR="00327F75" w:rsidRPr="00327F75" w:rsidRDefault="00327F75" w:rsidP="00327F75">
      <w:pPr>
        <w:spacing w:before="100" w:beforeAutospacing="1" w:after="100" w:afterAutospacing="1" w:line="240" w:lineRule="atLeast"/>
        <w:ind w:left="709" w:hanging="709"/>
        <w:contextualSpacing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327F75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2.5. Имущественные налоги: </w:t>
      </w:r>
    </w:p>
    <w:p w:rsidR="00327F75" w:rsidRPr="00327F75" w:rsidRDefault="00327F75" w:rsidP="00327F7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284"/>
        <w:contextualSpacing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>Налог на имущество. Изменения в налогообложении «кадастровых» объектов - с 2025г (расширение объектной базы).</w:t>
      </w:r>
      <w:r w:rsidRPr="00327F75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 </w:t>
      </w:r>
    </w:p>
    <w:p w:rsidR="00327F75" w:rsidRPr="00327F75" w:rsidRDefault="00327F75" w:rsidP="00327F7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284"/>
        <w:contextualSpacing/>
        <w:rPr>
          <w:rFonts w:ascii="Calibri" w:eastAsia="Calibri" w:hAnsi="Calibri" w:cs="Calibri"/>
          <w:bCs/>
          <w:color w:val="000000"/>
          <w:sz w:val="21"/>
          <w:szCs w:val="21"/>
        </w:rPr>
      </w:pPr>
      <w:r w:rsidRPr="00327F75">
        <w:rPr>
          <w:rFonts w:ascii="Calibri" w:eastAsia="Calibri" w:hAnsi="Calibri" w:cs="Calibri"/>
          <w:b/>
          <w:bCs/>
          <w:color w:val="000000"/>
          <w:sz w:val="21"/>
          <w:szCs w:val="21"/>
        </w:rPr>
        <w:t>Значительное увеличение</w:t>
      </w:r>
      <w:r w:rsidRPr="00327F75">
        <w:rPr>
          <w:rFonts w:ascii="Calibri" w:eastAsia="Calibri" w:hAnsi="Calibri" w:cs="Calibri"/>
          <w:bCs/>
          <w:color w:val="000000"/>
          <w:sz w:val="21"/>
          <w:szCs w:val="21"/>
        </w:rPr>
        <w:t xml:space="preserve"> имущественных налогов на дорогостоящие объекты недвижимости. </w:t>
      </w:r>
    </w:p>
    <w:p w:rsidR="00327F75" w:rsidRPr="00233EF0" w:rsidRDefault="00327F75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Дата оказания Услуг по настоящему Договору: « » 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составляет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End"/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ЧОУ ДПО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  <w:bookmarkStart w:id="0" w:name="_GoBack"/>
      <w:bookmarkEnd w:id="0"/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Стороны могут использовать электронный документооборот. Документы, заверенные 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г  информационно-консультационные услуги в форме семинара (онлайн-трансляции семинара) по теме: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50CA1" w:rsidRPr="00050CA1">
        <w:rPr>
          <w:rFonts w:ascii="Times New Roman" w:eastAsia="Times New Roman" w:hAnsi="Times New Roman" w:cs="Times New Roman"/>
          <w:color w:val="000000"/>
          <w:lang w:eastAsia="ru-RU"/>
        </w:rPr>
        <w:t>Годовой отчет – 2024г: бухгалтерский и налоговый.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0CA1" w:rsidRPr="00050CA1">
        <w:rPr>
          <w:rFonts w:ascii="Times New Roman" w:eastAsia="Times New Roman" w:hAnsi="Times New Roman" w:cs="Times New Roman"/>
          <w:color w:val="000000"/>
          <w:lang w:eastAsia="ru-RU"/>
        </w:rPr>
        <w:t>Разбираемся с изменениями с  2025г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9A" w:rsidRDefault="00CF319A">
      <w:pPr>
        <w:spacing w:after="0" w:line="240" w:lineRule="auto"/>
      </w:pPr>
      <w:r>
        <w:separator/>
      </w:r>
    </w:p>
  </w:endnote>
  <w:endnote w:type="continuationSeparator" w:id="0">
    <w:p w:rsidR="00CF319A" w:rsidRDefault="00CF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9A" w:rsidRDefault="00CF319A">
      <w:pPr>
        <w:spacing w:after="0" w:line="240" w:lineRule="auto"/>
      </w:pPr>
      <w:r>
        <w:separator/>
      </w:r>
    </w:p>
  </w:footnote>
  <w:footnote w:type="continuationSeparator" w:id="0">
    <w:p w:rsidR="00CF319A" w:rsidRDefault="00CF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CF31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3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7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"/>
  </w:num>
  <w:num w:numId="5">
    <w:abstractNumId w:val="29"/>
  </w:num>
  <w:num w:numId="6">
    <w:abstractNumId w:val="8"/>
  </w:num>
  <w:num w:numId="7">
    <w:abstractNumId w:val="21"/>
  </w:num>
  <w:num w:numId="8">
    <w:abstractNumId w:val="30"/>
  </w:num>
  <w:num w:numId="9">
    <w:abstractNumId w:val="9"/>
  </w:num>
  <w:num w:numId="10">
    <w:abstractNumId w:val="14"/>
  </w:num>
  <w:num w:numId="11">
    <w:abstractNumId w:val="12"/>
  </w:num>
  <w:num w:numId="12">
    <w:abstractNumId w:val="41"/>
  </w:num>
  <w:num w:numId="13">
    <w:abstractNumId w:val="34"/>
  </w:num>
  <w:num w:numId="14">
    <w:abstractNumId w:val="33"/>
  </w:num>
  <w:num w:numId="15">
    <w:abstractNumId w:val="23"/>
  </w:num>
  <w:num w:numId="16">
    <w:abstractNumId w:val="37"/>
  </w:num>
  <w:num w:numId="17">
    <w:abstractNumId w:val="24"/>
  </w:num>
  <w:num w:numId="18">
    <w:abstractNumId w:val="0"/>
  </w:num>
  <w:num w:numId="19">
    <w:abstractNumId w:val="19"/>
  </w:num>
  <w:num w:numId="20">
    <w:abstractNumId w:val="17"/>
  </w:num>
  <w:num w:numId="21">
    <w:abstractNumId w:val="31"/>
  </w:num>
  <w:num w:numId="22">
    <w:abstractNumId w:val="11"/>
  </w:num>
  <w:num w:numId="23">
    <w:abstractNumId w:val="27"/>
  </w:num>
  <w:num w:numId="24">
    <w:abstractNumId w:val="7"/>
  </w:num>
  <w:num w:numId="25">
    <w:abstractNumId w:val="25"/>
  </w:num>
  <w:num w:numId="26">
    <w:abstractNumId w:val="28"/>
  </w:num>
  <w:num w:numId="27">
    <w:abstractNumId w:val="15"/>
  </w:num>
  <w:num w:numId="28">
    <w:abstractNumId w:val="35"/>
  </w:num>
  <w:num w:numId="29">
    <w:abstractNumId w:val="3"/>
  </w:num>
  <w:num w:numId="30">
    <w:abstractNumId w:val="6"/>
  </w:num>
  <w:num w:numId="31">
    <w:abstractNumId w:val="22"/>
  </w:num>
  <w:num w:numId="32">
    <w:abstractNumId w:val="4"/>
  </w:num>
  <w:num w:numId="33">
    <w:abstractNumId w:val="5"/>
  </w:num>
  <w:num w:numId="34">
    <w:abstractNumId w:val="36"/>
  </w:num>
  <w:num w:numId="35">
    <w:abstractNumId w:val="18"/>
  </w:num>
  <w:num w:numId="36">
    <w:abstractNumId w:val="32"/>
  </w:num>
  <w:num w:numId="37">
    <w:abstractNumId w:val="40"/>
  </w:num>
  <w:num w:numId="38">
    <w:abstractNumId w:val="39"/>
  </w:num>
  <w:num w:numId="39">
    <w:abstractNumId w:val="38"/>
  </w:num>
  <w:num w:numId="40">
    <w:abstractNumId w:val="2"/>
  </w:num>
  <w:num w:numId="41">
    <w:abstractNumId w:val="10"/>
  </w:num>
  <w:num w:numId="42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0CA1"/>
    <w:rsid w:val="0005357A"/>
    <w:rsid w:val="00070627"/>
    <w:rsid w:val="00080F91"/>
    <w:rsid w:val="00081557"/>
    <w:rsid w:val="000A48D0"/>
    <w:rsid w:val="000B18F7"/>
    <w:rsid w:val="000C10B4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6242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16186"/>
    <w:rsid w:val="00B62BA7"/>
    <w:rsid w:val="00B70839"/>
    <w:rsid w:val="00B9664A"/>
    <w:rsid w:val="00BA4D11"/>
    <w:rsid w:val="00BC0686"/>
    <w:rsid w:val="00C24BC2"/>
    <w:rsid w:val="00C91974"/>
    <w:rsid w:val="00CB7AE3"/>
    <w:rsid w:val="00CE5978"/>
    <w:rsid w:val="00CF128B"/>
    <w:rsid w:val="00CF319A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62E6"/>
    <w:rsid w:val="00E656A3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2025-01-18T06:09:00Z</dcterms:created>
  <dcterms:modified xsi:type="dcterms:W3CDTF">2025-01-18T06:19:00Z</dcterms:modified>
</cp:coreProperties>
</file>