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D0" w:rsidRPr="00F839F7" w:rsidRDefault="00AD59C6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</w:t>
      </w:r>
      <w:r w:rsidR="000F79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56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3F3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2A2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48D0" w:rsidRPr="00F839F7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59C6" w:rsidRPr="00AD59C6" w:rsidRDefault="00AD59C6" w:rsidP="00E6646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оказать информационно-консультационные услуги в форме семинара (онлайн-трансляции) для работник</w:t>
      </w:r>
      <w:proofErr w:type="gram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Заказчика по теме: </w:t>
      </w: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E66462" w:rsidRPr="00E664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УСН: годовой отчет  за 2024г.  Реформа УСН с 2025г</w:t>
      </w: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».          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</w:t>
      </w:r>
    </w:p>
    <w:p w:rsidR="00AD59C6" w:rsidRPr="00AD59C6" w:rsidRDefault="00AD59C6" w:rsidP="00AD59C6">
      <w:pPr>
        <w:widowControl w:val="0"/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Заказчик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услуги и оплатить их в со</w:t>
      </w:r>
      <w:bookmarkStart w:id="0" w:name="_GoBack"/>
      <w:bookmarkEnd w:id="0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условиями договора.  В случае онлайн-трансляции ссылка доступа (на онлайн-трансляцию) направляется заказчику на указанный электронный адрес при регистрации.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Программа:</w:t>
      </w:r>
    </w:p>
    <w:p w:rsidR="000F7936" w:rsidRPr="000F7936" w:rsidRDefault="000F7936" w:rsidP="000F7936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0F7936">
        <w:rPr>
          <w:rFonts w:ascii="Calibri" w:eastAsia="Times New Roman" w:hAnsi="Calibri" w:cs="Calibri"/>
          <w:b/>
          <w:bCs/>
          <w:color w:val="0000CC"/>
          <w:sz w:val="24"/>
          <w:szCs w:val="24"/>
          <w:shd w:val="clear" w:color="auto" w:fill="FFFFFF"/>
          <w:lang w:eastAsia="ru-RU"/>
        </w:rPr>
        <w:t>1.</w:t>
      </w:r>
      <w:r w:rsidRPr="000F7936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  Бухгалтерская (финансовая) отчетность за 2024 год. Ключевые новшества 2025г </w:t>
      </w:r>
    </w:p>
    <w:p w:rsidR="000F7936" w:rsidRPr="000F7936" w:rsidRDefault="000F7936" w:rsidP="000F793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851" w:hanging="425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0F7936">
        <w:rPr>
          <w:rFonts w:ascii="Calibri" w:eastAsia="Calibri" w:hAnsi="Calibri" w:cs="Calibri"/>
          <w:color w:val="000000"/>
          <w:sz w:val="21"/>
          <w:szCs w:val="21"/>
        </w:rPr>
        <w:t>Бухгалтерская отчетность за 2024г</w:t>
      </w:r>
      <w:proofErr w:type="gramStart"/>
      <w:r w:rsidRPr="000F7936">
        <w:rPr>
          <w:rFonts w:ascii="Calibri" w:eastAsia="Calibri" w:hAnsi="Calibri" w:cs="Calibri"/>
          <w:color w:val="000000"/>
          <w:sz w:val="21"/>
          <w:szCs w:val="21"/>
        </w:rPr>
        <w:t xml:space="preserve"> :</w:t>
      </w:r>
      <w:proofErr w:type="gramEnd"/>
      <w:r w:rsidRPr="000F7936">
        <w:rPr>
          <w:rFonts w:ascii="Calibri" w:eastAsia="Calibri" w:hAnsi="Calibri" w:cs="Calibri"/>
          <w:color w:val="000000"/>
          <w:sz w:val="21"/>
          <w:szCs w:val="21"/>
        </w:rPr>
        <w:t xml:space="preserve"> по каким правилам составлять. Обзор рекомендаций Минфина России, СРО ААС по  подготовке бухгалтерской отчетности  за 2024 год.  </w:t>
      </w:r>
    </w:p>
    <w:p w:rsidR="000F7936" w:rsidRPr="000F7936" w:rsidRDefault="000F7936" w:rsidP="000F793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851" w:hanging="425"/>
        <w:rPr>
          <w:rFonts w:ascii="Calibri" w:eastAsia="Calibri" w:hAnsi="Calibri" w:cs="Calibri"/>
          <w:color w:val="000000"/>
          <w:sz w:val="21"/>
          <w:szCs w:val="21"/>
        </w:rPr>
      </w:pPr>
      <w:r w:rsidRPr="000F7936">
        <w:rPr>
          <w:rFonts w:ascii="Calibri" w:eastAsia="Calibri" w:hAnsi="Calibri" w:cs="Calibri"/>
          <w:color w:val="000000"/>
          <w:sz w:val="21"/>
          <w:szCs w:val="21"/>
        </w:rPr>
        <w:t xml:space="preserve">Сложные вопросы применения ФСБУ 14/2022 и раскрытия информации в отчетности за 2024г (ПО, лицензии, объекты лицензионных договоров и пр.). Исправление ошибок. </w:t>
      </w:r>
    </w:p>
    <w:p w:rsidR="000F7936" w:rsidRPr="000F7936" w:rsidRDefault="000F7936" w:rsidP="000F793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851" w:hanging="425"/>
        <w:rPr>
          <w:rFonts w:ascii="Calibri" w:eastAsia="Calibri" w:hAnsi="Calibri" w:cs="Calibri"/>
          <w:color w:val="000000"/>
          <w:sz w:val="21"/>
          <w:szCs w:val="21"/>
        </w:rPr>
      </w:pPr>
      <w:r w:rsidRPr="000F7936">
        <w:rPr>
          <w:rFonts w:ascii="Calibri" w:eastAsia="Calibri" w:hAnsi="Calibri" w:cs="Calibri"/>
          <w:color w:val="000000"/>
          <w:sz w:val="21"/>
          <w:szCs w:val="21"/>
        </w:rPr>
        <w:t>Подготовка к переходу на ФСБУ 4/2023 с отчетности 2025г  (в т.ч. промежуточной).</w:t>
      </w:r>
    </w:p>
    <w:p w:rsidR="000F7936" w:rsidRPr="000F7936" w:rsidRDefault="000F7936" w:rsidP="000F7936">
      <w:pPr>
        <w:spacing w:after="0" w:line="240" w:lineRule="atLeast"/>
        <w:ind w:left="851"/>
        <w:rPr>
          <w:rFonts w:ascii="Calibri" w:eastAsia="Calibri" w:hAnsi="Calibri" w:cs="Calibri"/>
          <w:color w:val="000000"/>
          <w:sz w:val="21"/>
          <w:szCs w:val="21"/>
        </w:rPr>
      </w:pPr>
    </w:p>
    <w:p w:rsidR="000F7936" w:rsidRPr="000F7936" w:rsidRDefault="000F7936" w:rsidP="000F7936">
      <w:pPr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0F7936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2. Налоговое и неналоговое администрирование: зоны риска и важное для практики.</w:t>
      </w:r>
    </w:p>
    <w:p w:rsidR="000F7936" w:rsidRPr="000F7936" w:rsidRDefault="000F7936" w:rsidP="000F79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0F7936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2.1.  Общие вопросы  </w:t>
      </w:r>
    </w:p>
    <w:p w:rsidR="000F7936" w:rsidRPr="000F7936" w:rsidRDefault="000F7936" w:rsidP="000F793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0F7936">
        <w:rPr>
          <w:rFonts w:ascii="Calibri" w:eastAsia="Calibri" w:hAnsi="Calibri" w:cs="Times New Roman"/>
          <w:color w:val="000000"/>
          <w:sz w:val="21"/>
          <w:szCs w:val="21"/>
        </w:rPr>
        <w:t>Введение новых мер ответственности за нарушения в сфере налоговых правоотношений:</w:t>
      </w:r>
    </w:p>
    <w:p w:rsidR="000F7936" w:rsidRPr="000F7936" w:rsidRDefault="000F7936" w:rsidP="000F793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0F7936">
        <w:rPr>
          <w:rFonts w:ascii="Calibri" w:eastAsia="Calibri" w:hAnsi="Calibri" w:cs="Times New Roman"/>
          <w:color w:val="000000"/>
          <w:sz w:val="21"/>
          <w:szCs w:val="21"/>
        </w:rPr>
        <w:t>Введение уголовной ответственности за фальсификацию счетов-фактур по ст. 173.3 УК РФ.</w:t>
      </w:r>
    </w:p>
    <w:p w:rsidR="000F7936" w:rsidRPr="000F7936" w:rsidRDefault="000F7936" w:rsidP="000F793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0F7936">
        <w:rPr>
          <w:rFonts w:ascii="Calibri" w:eastAsia="Calibri" w:hAnsi="Calibri" w:cs="Times New Roman"/>
          <w:color w:val="000000"/>
          <w:sz w:val="21"/>
          <w:szCs w:val="21"/>
        </w:rPr>
        <w:t>Возможность привлечения по ст. 159 УКРФ при использовании «фиктивных» счетов-фактур.</w:t>
      </w:r>
    </w:p>
    <w:p w:rsidR="000F7936" w:rsidRPr="000F7936" w:rsidRDefault="000F7936" w:rsidP="000F793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0F7936">
        <w:rPr>
          <w:rFonts w:ascii="Calibri" w:eastAsia="Calibri" w:hAnsi="Calibri" w:cs="Times New Roman"/>
          <w:color w:val="000000"/>
          <w:sz w:val="21"/>
          <w:szCs w:val="21"/>
        </w:rPr>
        <w:t>Блокирование  отдельных  налоговых  схем:   налоговая миграция, введение ограничения по доходам для применения ПСН. Дробление бизнеса и амнистия – важные моменты.</w:t>
      </w:r>
    </w:p>
    <w:p w:rsidR="000F7936" w:rsidRPr="000F7936" w:rsidRDefault="000F7936" w:rsidP="000F793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0F7936">
        <w:rPr>
          <w:rFonts w:ascii="Calibri" w:eastAsia="Calibri" w:hAnsi="Calibri" w:cs="Times New Roman"/>
          <w:color w:val="000000"/>
          <w:sz w:val="21"/>
          <w:szCs w:val="21"/>
        </w:rPr>
        <w:t>Реестр нелегальной занятости.</w:t>
      </w:r>
    </w:p>
    <w:p w:rsidR="000F7936" w:rsidRPr="000F7936" w:rsidRDefault="000F7936" w:rsidP="000F793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Calibri"/>
          <w:b/>
          <w:sz w:val="28"/>
          <w:szCs w:val="28"/>
        </w:rPr>
      </w:pPr>
      <w:r w:rsidRPr="000F7936">
        <w:rPr>
          <w:rFonts w:ascii="Calibri" w:eastAsia="Calibri" w:hAnsi="Calibri" w:cs="Times New Roman"/>
          <w:color w:val="000000"/>
          <w:sz w:val="21"/>
          <w:szCs w:val="21"/>
        </w:rPr>
        <w:t>Штрафы за непредставление уведомлений о начале деятельности значительно выросли, а состав нарушений  расширен</w:t>
      </w:r>
    </w:p>
    <w:p w:rsidR="000F7936" w:rsidRPr="000F7936" w:rsidRDefault="000F7936" w:rsidP="000F793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Calibri"/>
          <w:b/>
          <w:sz w:val="28"/>
          <w:szCs w:val="28"/>
        </w:rPr>
      </w:pPr>
      <w:r w:rsidRPr="000F7936">
        <w:rPr>
          <w:rFonts w:ascii="Calibri" w:eastAsia="Calibri" w:hAnsi="Calibri" w:cs="Times New Roman"/>
          <w:sz w:val="21"/>
          <w:szCs w:val="21"/>
        </w:rPr>
        <w:t>С 1 января действуют новые контрольные соотношения по уведомлениям.</w:t>
      </w:r>
    </w:p>
    <w:p w:rsidR="000F7936" w:rsidRPr="000F7936" w:rsidRDefault="000F7936" w:rsidP="000F793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Calibri"/>
          <w:b/>
          <w:sz w:val="28"/>
          <w:szCs w:val="28"/>
        </w:rPr>
      </w:pPr>
      <w:r w:rsidRPr="000F7936">
        <w:rPr>
          <w:rFonts w:ascii="Times New Roman" w:eastAsia="Calibri" w:hAnsi="Times New Roman" w:cs="Times New Roman"/>
          <w:sz w:val="21"/>
          <w:szCs w:val="21"/>
        </w:rPr>
        <w:t>Новый</w:t>
      </w:r>
      <w:r w:rsidRPr="000F7936">
        <w:rPr>
          <w:rFonts w:ascii="Calibri" w:eastAsia="Calibri" w:hAnsi="Calibri" w:cs="Times New Roman"/>
          <w:sz w:val="21"/>
          <w:szCs w:val="21"/>
        </w:rPr>
        <w:t xml:space="preserve"> </w:t>
      </w:r>
      <w:r w:rsidRPr="000F7936">
        <w:rPr>
          <w:rFonts w:ascii="Times New Roman" w:eastAsia="Calibri" w:hAnsi="Times New Roman" w:cs="Times New Roman"/>
          <w:sz w:val="21"/>
          <w:szCs w:val="21"/>
        </w:rPr>
        <w:t>порядок</w:t>
      </w:r>
      <w:r w:rsidRPr="000F7936">
        <w:rPr>
          <w:rFonts w:ascii="Calibri" w:eastAsia="Calibri" w:hAnsi="Calibri" w:cs="Times New Roman"/>
          <w:sz w:val="21"/>
          <w:szCs w:val="21"/>
        </w:rPr>
        <w:t xml:space="preserve"> </w:t>
      </w:r>
      <w:r w:rsidRPr="000F7936">
        <w:rPr>
          <w:rFonts w:ascii="Times New Roman" w:eastAsia="Calibri" w:hAnsi="Times New Roman" w:cs="Times New Roman"/>
          <w:sz w:val="21"/>
          <w:szCs w:val="21"/>
        </w:rPr>
        <w:t>начисления</w:t>
      </w:r>
      <w:r w:rsidRPr="000F7936">
        <w:rPr>
          <w:rFonts w:ascii="Calibri" w:eastAsia="Calibri" w:hAnsi="Calibri" w:cs="Times New Roman"/>
          <w:sz w:val="21"/>
          <w:szCs w:val="21"/>
        </w:rPr>
        <w:t xml:space="preserve"> </w:t>
      </w:r>
      <w:r w:rsidRPr="000F7936">
        <w:rPr>
          <w:rFonts w:ascii="Times New Roman" w:eastAsia="Calibri" w:hAnsi="Times New Roman" w:cs="Times New Roman"/>
          <w:sz w:val="21"/>
          <w:szCs w:val="21"/>
        </w:rPr>
        <w:t>пеней</w:t>
      </w:r>
      <w:r w:rsidRPr="000F7936">
        <w:rPr>
          <w:rFonts w:ascii="Calibri" w:eastAsia="Calibri" w:hAnsi="Calibri" w:cs="Times New Roman"/>
          <w:sz w:val="21"/>
          <w:szCs w:val="21"/>
        </w:rPr>
        <w:t xml:space="preserve"> </w:t>
      </w:r>
      <w:r w:rsidRPr="000F7936">
        <w:rPr>
          <w:rFonts w:ascii="Times New Roman" w:eastAsia="Calibri" w:hAnsi="Times New Roman" w:cs="Times New Roman"/>
          <w:sz w:val="21"/>
          <w:szCs w:val="21"/>
        </w:rPr>
        <w:t>на</w:t>
      </w:r>
      <w:r w:rsidRPr="000F7936">
        <w:rPr>
          <w:rFonts w:ascii="Calibri" w:eastAsia="Calibri" w:hAnsi="Calibri" w:cs="Times New Roman"/>
          <w:sz w:val="21"/>
          <w:szCs w:val="21"/>
        </w:rPr>
        <w:t xml:space="preserve"> 2025 </w:t>
      </w:r>
      <w:r w:rsidRPr="000F7936">
        <w:rPr>
          <w:rFonts w:ascii="Times New Roman" w:eastAsia="Calibri" w:hAnsi="Times New Roman" w:cs="Times New Roman"/>
          <w:sz w:val="21"/>
          <w:szCs w:val="21"/>
        </w:rPr>
        <w:t>год</w:t>
      </w:r>
      <w:r w:rsidRPr="000F7936">
        <w:rPr>
          <w:rFonts w:ascii="Calibri" w:eastAsia="Calibri" w:hAnsi="Calibri" w:cs="Times New Roman"/>
          <w:sz w:val="21"/>
          <w:szCs w:val="21"/>
        </w:rPr>
        <w:t>. Отмена подтверждения ОКВЭД.  Новые КБК с 2025г</w:t>
      </w:r>
    </w:p>
    <w:p w:rsidR="000F7936" w:rsidRPr="000F7936" w:rsidRDefault="000F7936" w:rsidP="000F7936">
      <w:pPr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0F7936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2.2. Налоговая реформа УСН: основные положения.</w:t>
      </w:r>
    </w:p>
    <w:p w:rsidR="000F7936" w:rsidRPr="000F7936" w:rsidRDefault="000F7936" w:rsidP="000F793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1134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0F7936">
        <w:rPr>
          <w:rFonts w:ascii="Calibri" w:eastAsia="Calibri" w:hAnsi="Calibri" w:cs="Times New Roman"/>
          <w:color w:val="000000"/>
          <w:sz w:val="21"/>
          <w:szCs w:val="21"/>
        </w:rPr>
        <w:t>Увеличение лимитов по УСН</w:t>
      </w:r>
      <w:proofErr w:type="gramStart"/>
      <w:r w:rsidRPr="000F7936">
        <w:rPr>
          <w:rFonts w:ascii="Calibri" w:eastAsia="Calibri" w:hAnsi="Calibri" w:cs="Times New Roman"/>
          <w:color w:val="000000"/>
          <w:sz w:val="21"/>
          <w:szCs w:val="21"/>
        </w:rPr>
        <w:t xml:space="preserve"> ,</w:t>
      </w:r>
      <w:proofErr w:type="gramEnd"/>
      <w:r w:rsidRPr="000F7936">
        <w:rPr>
          <w:rFonts w:ascii="Calibri" w:eastAsia="Calibri" w:hAnsi="Calibri" w:cs="Times New Roman"/>
          <w:color w:val="000000"/>
          <w:sz w:val="21"/>
          <w:szCs w:val="21"/>
        </w:rPr>
        <w:t>отмена повышенных ставок 8 и 20 %</w:t>
      </w:r>
    </w:p>
    <w:p w:rsidR="000F7936" w:rsidRPr="000F7936" w:rsidRDefault="000F7936" w:rsidP="000F793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1134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0F7936">
        <w:rPr>
          <w:rFonts w:ascii="Calibri" w:eastAsia="Calibri" w:hAnsi="Calibri" w:cs="Times New Roman"/>
          <w:color w:val="000000"/>
          <w:sz w:val="21"/>
          <w:szCs w:val="21"/>
        </w:rPr>
        <w:t>Декларация по УСН.  Исчисление единого налога. Порядок учета доходов и расходов: особенности и типичные ошибки</w:t>
      </w:r>
    </w:p>
    <w:p w:rsidR="000F7936" w:rsidRPr="000F7936" w:rsidRDefault="000F7936" w:rsidP="000F793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1134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0F7936">
        <w:rPr>
          <w:rFonts w:ascii="Calibri" w:eastAsia="Calibri" w:hAnsi="Calibri" w:cs="Times New Roman"/>
          <w:color w:val="000000"/>
          <w:sz w:val="21"/>
          <w:szCs w:val="21"/>
        </w:rPr>
        <w:t xml:space="preserve">Введение обязанности по уплате НДС  </w:t>
      </w:r>
    </w:p>
    <w:p w:rsidR="000F7936" w:rsidRPr="000F7936" w:rsidRDefault="000F7936" w:rsidP="000F793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1418" w:hanging="284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0F7936">
        <w:rPr>
          <w:rFonts w:ascii="Calibri" w:eastAsia="Calibri" w:hAnsi="Calibri" w:cs="Times New Roman"/>
          <w:b/>
          <w:color w:val="C00000"/>
          <w:sz w:val="21"/>
          <w:szCs w:val="21"/>
        </w:rPr>
        <w:t>три пути:</w:t>
      </w:r>
      <w:r w:rsidRPr="000F7936">
        <w:rPr>
          <w:rFonts w:ascii="Calibri" w:eastAsia="Calibri" w:hAnsi="Calibri" w:cs="Times New Roman"/>
          <w:color w:val="C00000"/>
          <w:sz w:val="21"/>
          <w:szCs w:val="21"/>
        </w:rPr>
        <w:t xml:space="preserve"> </w:t>
      </w:r>
      <w:r w:rsidRPr="000F7936">
        <w:rPr>
          <w:rFonts w:ascii="Calibri" w:eastAsia="Calibri" w:hAnsi="Calibri" w:cs="Times New Roman"/>
          <w:color w:val="000000"/>
          <w:sz w:val="21"/>
          <w:szCs w:val="21"/>
        </w:rPr>
        <w:t>освобождение, пониженные ставки или обычный НДС</w:t>
      </w:r>
    </w:p>
    <w:p w:rsidR="000F7936" w:rsidRPr="000F7936" w:rsidRDefault="000F7936" w:rsidP="000F793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1418" w:hanging="284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0F7936">
        <w:rPr>
          <w:rFonts w:ascii="Calibri" w:eastAsia="Calibri" w:hAnsi="Calibri" w:cs="Times New Roman"/>
          <w:color w:val="000000"/>
          <w:sz w:val="21"/>
          <w:szCs w:val="21"/>
        </w:rPr>
        <w:t>переходные положения (по переходящим договорам).</w:t>
      </w:r>
    </w:p>
    <w:p w:rsidR="000F7936" w:rsidRPr="000F7936" w:rsidRDefault="000F7936" w:rsidP="000F793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1134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0F7936">
        <w:rPr>
          <w:rFonts w:ascii="Calibri" w:eastAsia="Calibri" w:hAnsi="Calibri" w:cs="Times New Roman"/>
          <w:color w:val="000000"/>
          <w:sz w:val="21"/>
          <w:szCs w:val="21"/>
        </w:rPr>
        <w:t>Основные правила составления счетов-фактур, их исправления и корректировок, ведения книг покупок и продаж.</w:t>
      </w:r>
    </w:p>
    <w:p w:rsidR="000F7936" w:rsidRPr="000F7936" w:rsidRDefault="000F7936" w:rsidP="000F793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0F7936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2.3. «Зарплатные» налоги и сборы:</w:t>
      </w:r>
    </w:p>
    <w:p w:rsidR="000F7936" w:rsidRPr="000F7936" w:rsidRDefault="000F7936" w:rsidP="000F793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709" w:hanging="283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0F7936">
        <w:rPr>
          <w:rFonts w:ascii="Calibri" w:eastAsia="Calibri" w:hAnsi="Calibri" w:cs="Calibri"/>
          <w:color w:val="000000"/>
          <w:sz w:val="21"/>
          <w:szCs w:val="21"/>
        </w:rPr>
        <w:t xml:space="preserve"> 6-НДФЛ за 2024 год – особенности заполнения. Совокупность налоговых баз. Особенность формирования налоговой базы по дивидендам.</w:t>
      </w:r>
    </w:p>
    <w:p w:rsidR="000F7936" w:rsidRPr="000F7936" w:rsidRDefault="000F7936" w:rsidP="000F793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709" w:hanging="283"/>
        <w:contextualSpacing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0F7936">
        <w:rPr>
          <w:rFonts w:ascii="Calibri" w:eastAsia="Calibri" w:hAnsi="Calibri" w:cs="Calibri"/>
          <w:b/>
          <w:color w:val="000000"/>
          <w:sz w:val="21"/>
          <w:szCs w:val="21"/>
        </w:rPr>
        <w:lastRenderedPageBreak/>
        <w:t>Реформа НДФЛ с 2025г</w:t>
      </w:r>
    </w:p>
    <w:p w:rsidR="000F7936" w:rsidRPr="000F7936" w:rsidRDefault="000F7936" w:rsidP="000F793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tLeast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0F7936">
        <w:rPr>
          <w:rFonts w:ascii="Calibri" w:eastAsia="Calibri" w:hAnsi="Calibri" w:cs="Calibri"/>
          <w:color w:val="000000"/>
          <w:sz w:val="21"/>
          <w:szCs w:val="21"/>
        </w:rPr>
        <w:t>новые ставки налога - как формировать базы, раздельный расчет по базам, порядок исчисления налога по отдельным группам (совокупностям) налоговых баз. НДФЛ с РК</w:t>
      </w:r>
    </w:p>
    <w:p w:rsidR="000F7936" w:rsidRPr="000F7936" w:rsidRDefault="000F7936" w:rsidP="000F793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tLeast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0F7936">
        <w:rPr>
          <w:rFonts w:ascii="Calibri" w:eastAsia="Calibri" w:hAnsi="Calibri" w:cs="Calibri"/>
          <w:color w:val="000000"/>
          <w:sz w:val="21"/>
          <w:szCs w:val="21"/>
        </w:rPr>
        <w:t>особенности расчета лимита для вычетов на детей, особенности расчета у нерезидентов и пр.</w:t>
      </w:r>
    </w:p>
    <w:p w:rsidR="000F7936" w:rsidRPr="000F7936" w:rsidRDefault="000F7936" w:rsidP="000F793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tLeast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0F7936">
        <w:rPr>
          <w:rFonts w:ascii="Calibri" w:eastAsia="Calibri" w:hAnsi="Calibri" w:cs="Calibri"/>
          <w:color w:val="000000"/>
          <w:sz w:val="21"/>
          <w:szCs w:val="21"/>
        </w:rPr>
        <w:t>отдельные  КБК по НДФЛ – как распределять вычеты, формировать 6-НДФЛ и уведомления по налогу.</w:t>
      </w:r>
    </w:p>
    <w:p w:rsidR="000F7936" w:rsidRPr="000F7936" w:rsidRDefault="000F7936" w:rsidP="000F793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tLeast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0F7936">
        <w:rPr>
          <w:rFonts w:ascii="Calibri" w:eastAsia="Calibri" w:hAnsi="Calibri" w:cs="Calibri"/>
          <w:color w:val="000000"/>
          <w:sz w:val="21"/>
          <w:szCs w:val="21"/>
        </w:rPr>
        <w:t>новые правила предоставления стандартных налоговых вычетов</w:t>
      </w:r>
    </w:p>
    <w:p w:rsidR="000F7936" w:rsidRPr="000F7936" w:rsidRDefault="000F7936" w:rsidP="000F793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709" w:hanging="283"/>
        <w:contextualSpacing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0F7936">
        <w:rPr>
          <w:rFonts w:ascii="Calibri" w:eastAsia="Calibri" w:hAnsi="Calibri" w:cs="Calibri"/>
          <w:b/>
          <w:color w:val="000000"/>
          <w:sz w:val="21"/>
          <w:szCs w:val="21"/>
        </w:rPr>
        <w:t xml:space="preserve">Страховые взносы. </w:t>
      </w:r>
    </w:p>
    <w:p w:rsidR="000F7936" w:rsidRPr="000F7936" w:rsidRDefault="000F7936" w:rsidP="000F793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1418" w:hanging="425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0F7936">
        <w:rPr>
          <w:rFonts w:ascii="Calibri" w:eastAsia="Calibri" w:hAnsi="Calibri" w:cs="Calibri"/>
          <w:color w:val="000000"/>
          <w:sz w:val="21"/>
          <w:szCs w:val="21"/>
        </w:rPr>
        <w:t>обновление базовых экономических показателей: МРОТ (федеральный и региональный) и предельная база  для начисления страховых взносов</w:t>
      </w:r>
    </w:p>
    <w:p w:rsidR="000F7936" w:rsidRPr="000F7936" w:rsidRDefault="000F7936" w:rsidP="000F793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1418" w:hanging="425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0F7936">
        <w:rPr>
          <w:rFonts w:ascii="Calibri" w:eastAsia="Calibri" w:hAnsi="Calibri" w:cs="Calibri"/>
          <w:color w:val="000000"/>
          <w:sz w:val="21"/>
          <w:szCs w:val="21"/>
        </w:rPr>
        <w:t>дополнительное снижение ставок страховых взносов для СМП:  необходимость приведения в соответствие  кодов ОКВЭД</w:t>
      </w:r>
    </w:p>
    <w:p w:rsidR="000F7936" w:rsidRPr="000F7936" w:rsidRDefault="000F7936" w:rsidP="000F793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1418" w:hanging="425"/>
        <w:contextualSpacing/>
        <w:rPr>
          <w:rFonts w:ascii="Calibri" w:eastAsia="Calibri" w:hAnsi="Calibri" w:cs="Calibri"/>
          <w:color w:val="000000"/>
          <w:sz w:val="21"/>
          <w:szCs w:val="21"/>
        </w:rPr>
      </w:pPr>
      <w:r w:rsidRPr="000F7936">
        <w:rPr>
          <w:rFonts w:ascii="Calibri" w:eastAsia="Calibri" w:hAnsi="Calibri" w:cs="Calibri"/>
          <w:color w:val="000000"/>
          <w:sz w:val="21"/>
          <w:szCs w:val="21"/>
        </w:rPr>
        <w:t>увеличение  нагрузки  по  уплате  страховых  взносов  у  СМП  вследствие  увеличения  порога  регрессивной   шкалы и увеличения МРОТ.</w:t>
      </w:r>
    </w:p>
    <w:p w:rsidR="000F7936" w:rsidRPr="000F7936" w:rsidRDefault="000F7936" w:rsidP="000F7936">
      <w:pPr>
        <w:spacing w:before="100" w:beforeAutospacing="1" w:after="100" w:afterAutospacing="1" w:line="240" w:lineRule="atLeast"/>
        <w:ind w:left="709" w:hanging="709"/>
        <w:contextualSpacing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0F7936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2.4. Имущественные налоги: </w:t>
      </w:r>
    </w:p>
    <w:p w:rsidR="000F7936" w:rsidRPr="000F7936" w:rsidRDefault="000F7936" w:rsidP="000F793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851" w:hanging="284"/>
        <w:contextualSpacing/>
        <w:rPr>
          <w:rFonts w:ascii="Calibri" w:eastAsia="Calibri" w:hAnsi="Calibri" w:cs="Calibri"/>
          <w:b/>
          <w:bCs/>
          <w:color w:val="000000"/>
          <w:sz w:val="21"/>
          <w:szCs w:val="21"/>
        </w:rPr>
      </w:pPr>
      <w:r w:rsidRPr="000F7936">
        <w:rPr>
          <w:rFonts w:ascii="Calibri" w:eastAsia="Calibri" w:hAnsi="Calibri" w:cs="Calibri"/>
          <w:bCs/>
          <w:color w:val="000000"/>
          <w:sz w:val="21"/>
          <w:szCs w:val="21"/>
        </w:rPr>
        <w:t>Налог на имущество. Изменения в налогообложении «кадастровых» объектов - с 2025г (</w:t>
      </w:r>
      <w:r w:rsidRPr="000F7936"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расширение объектной базы). </w:t>
      </w:r>
    </w:p>
    <w:p w:rsidR="000F7936" w:rsidRPr="000F7936" w:rsidRDefault="000F7936" w:rsidP="000F7936">
      <w:pPr>
        <w:spacing w:before="100" w:beforeAutospacing="1" w:after="100" w:afterAutospacing="1" w:line="240" w:lineRule="atLeast"/>
        <w:ind w:left="709" w:hanging="709"/>
        <w:contextualSpacing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F7936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2.5. АУСН с 2025г </w:t>
      </w:r>
    </w:p>
    <w:p w:rsidR="000F7936" w:rsidRPr="000F7936" w:rsidRDefault="000F7936" w:rsidP="000F793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851" w:hanging="284"/>
        <w:contextualSpacing/>
        <w:rPr>
          <w:rFonts w:ascii="Calibri" w:eastAsia="Calibri" w:hAnsi="Calibri" w:cs="Calibri"/>
          <w:b/>
          <w:bCs/>
          <w:color w:val="000000"/>
          <w:sz w:val="21"/>
          <w:szCs w:val="21"/>
        </w:rPr>
      </w:pPr>
      <w:r w:rsidRPr="000F7936"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Введение </w:t>
      </w:r>
      <w:r w:rsidRPr="000F7936">
        <w:rPr>
          <w:rFonts w:ascii="Calibri" w:eastAsia="Calibri" w:hAnsi="Calibri" w:cs="Calibri"/>
          <w:bCs/>
          <w:color w:val="000000"/>
          <w:sz w:val="21"/>
          <w:szCs w:val="21"/>
        </w:rPr>
        <w:t xml:space="preserve">нового спецрежима  АУСН в Новосибирской области. Возможность </w:t>
      </w:r>
      <w:r w:rsidRPr="000F7936">
        <w:rPr>
          <w:rFonts w:ascii="Calibri" w:eastAsia="Calibri" w:hAnsi="Calibri" w:cs="Calibri"/>
          <w:b/>
          <w:bCs/>
          <w:color w:val="000000"/>
          <w:sz w:val="21"/>
          <w:szCs w:val="21"/>
        </w:rPr>
        <w:t>перехода с любого месяца</w:t>
      </w:r>
      <w:r w:rsidRPr="000F7936">
        <w:rPr>
          <w:rFonts w:ascii="Calibri" w:eastAsia="Calibri" w:hAnsi="Calibri" w:cs="Calibri"/>
          <w:bCs/>
          <w:color w:val="000000"/>
          <w:sz w:val="21"/>
          <w:szCs w:val="21"/>
        </w:rPr>
        <w:t>.</w:t>
      </w:r>
    </w:p>
    <w:p w:rsidR="000F7936" w:rsidRPr="000F7936" w:rsidRDefault="000F7936" w:rsidP="000F793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851" w:hanging="284"/>
        <w:contextualSpacing/>
        <w:rPr>
          <w:rFonts w:ascii="Calibri" w:eastAsia="Calibri" w:hAnsi="Calibri" w:cs="Calibri"/>
          <w:b/>
          <w:bCs/>
          <w:color w:val="000000"/>
          <w:sz w:val="21"/>
          <w:szCs w:val="21"/>
        </w:rPr>
      </w:pPr>
      <w:r w:rsidRPr="000F7936">
        <w:rPr>
          <w:rFonts w:ascii="Calibri" w:eastAsia="Calibri" w:hAnsi="Calibri" w:cs="Calibri"/>
          <w:bCs/>
          <w:color w:val="000000"/>
          <w:sz w:val="21"/>
          <w:szCs w:val="21"/>
        </w:rPr>
        <w:t>Кто может перейти на АУСН и особенности  применения данного спецрежима.</w:t>
      </w:r>
    </w:p>
    <w:p w:rsidR="000F7936" w:rsidRDefault="000F7936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Форма оказания услуг: очно/онлайн </w:t>
      </w:r>
    </w:p>
    <w:p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Дата оказания Услуг по настоящему Договору: « </w:t>
      </w:r>
      <w:r w:rsidR="00E6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6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E6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Услуг, порядок оплаты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приемки услуг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 оказания услуг составляет</w:t>
      </w:r>
      <w:proofErr w:type="gram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____(____________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gramEnd"/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рублей. НДС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:rsidR="000A48D0" w:rsidRPr="00F839F7" w:rsidRDefault="00050CA1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 С»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 при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Pr="00050CA1">
        <w:t xml:space="preserve">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освобождается от налога на добавленную стоимость на основании пункта 1 статьи 145 НК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="000A48D0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ЧОУ ДПО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</w:t>
      </w:r>
      <w:proofErr w:type="gramStart"/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="000A48D0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</w:t>
      </w:r>
      <w:proofErr w:type="spell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была предоставлена ссылка доступа к трансляции и онлайн-трансляция мероприятия Исполнителем был</w:t>
      </w:r>
      <w:r w:rsidR="002318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86" w:type="dxa"/>
        <w:tblInd w:w="87" w:type="dxa"/>
        <w:tblLook w:val="04A0" w:firstRow="1" w:lastRow="0" w:firstColumn="1" w:lastColumn="0" w:noHBand="0" w:noVBand="1"/>
      </w:tblPr>
      <w:tblGrid>
        <w:gridCol w:w="4853"/>
        <w:gridCol w:w="5233"/>
      </w:tblGrid>
      <w:tr w:rsidR="000A48D0" w:rsidRPr="000A48D0" w:rsidTr="007E6D59">
        <w:trPr>
          <w:trHeight w:val="4944"/>
        </w:trPr>
        <w:tc>
          <w:tcPr>
            <w:tcW w:w="4853" w:type="dxa"/>
            <w:hideMark/>
          </w:tcPr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  <w:r w:rsidR="007E6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  Самарина И.М.</w:t>
            </w:r>
          </w:p>
        </w:tc>
        <w:tc>
          <w:tcPr>
            <w:tcW w:w="5233" w:type="dxa"/>
            <w:noWrap/>
            <w:hideMark/>
          </w:tcPr>
          <w:p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8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7E6D59" w:rsidRDefault="007E6D59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7E6D59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:rsidR="000A48D0" w:rsidRPr="00661EBB" w:rsidRDefault="000A48D0" w:rsidP="007E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>АКТ №</w:t>
      </w:r>
    </w:p>
    <w:p w:rsidR="006A3A10" w:rsidRPr="00661EBB" w:rsidRDefault="006A3A10" w:rsidP="00F82D8E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7E6D59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сдачи-приемки оказания услуг                                                                                                                         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E66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E00052" w:rsidRPr="00E0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9A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E66462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февраля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2F1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proofErr w:type="gramStart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3EF0" w:rsidRPr="00233EF0" w:rsidRDefault="000A48D0" w:rsidP="00233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  Исполнитель  оказал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E66462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февраля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г  информационно-консультационные услуги в форме семинара (онлайн-трансляции семинара) по теме: 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E66462" w:rsidRPr="00E66462">
        <w:rPr>
          <w:rFonts w:ascii="Times New Roman" w:eastAsia="Times New Roman" w:hAnsi="Times New Roman" w:cs="Times New Roman"/>
          <w:color w:val="000000"/>
          <w:lang w:eastAsia="ru-RU"/>
        </w:rPr>
        <w:t>УСН: годовой отчет  за 2024г.  Реформа УСН с 2025г</w:t>
      </w:r>
      <w:r w:rsidR="00233EF0" w:rsidRPr="00233EF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» </w:t>
      </w:r>
    </w:p>
    <w:p w:rsidR="00AD59C6" w:rsidRPr="00233EF0" w:rsidRDefault="00AD59C6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0A48D0" w:rsidRPr="006A3A10" w:rsidRDefault="000A48D0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7E6D59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proofErr w:type="gramStart"/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="005D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A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D328E"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328E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 облагается.</w:t>
      </w:r>
    </w:p>
    <w:p w:rsidR="00897E09" w:rsidRDefault="00897E09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A48D0" w:rsidRPr="000A48D0" w:rsidTr="007E6D59">
        <w:trPr>
          <w:trHeight w:val="4410"/>
        </w:trPr>
        <w:tc>
          <w:tcPr>
            <w:tcW w:w="5387" w:type="dxa"/>
          </w:tcPr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__________________Самарина И.М.</w:t>
            </w:r>
          </w:p>
        </w:tc>
        <w:tc>
          <w:tcPr>
            <w:tcW w:w="4961" w:type="dxa"/>
          </w:tcPr>
          <w:p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7E6D59">
          <w:type w:val="continuous"/>
          <w:pgSz w:w="11909" w:h="16834" w:code="9"/>
          <w:pgMar w:top="709" w:right="709" w:bottom="568" w:left="1134" w:header="720" w:footer="0" w:gutter="0"/>
          <w:cols w:space="391"/>
          <w:noEndnote/>
          <w:titlePg/>
          <w:docGrid w:linePitch="299"/>
        </w:sect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58" w:rsidRDefault="00035058">
      <w:pPr>
        <w:spacing w:after="0" w:line="240" w:lineRule="auto"/>
      </w:pPr>
      <w:r>
        <w:separator/>
      </w:r>
    </w:p>
  </w:endnote>
  <w:endnote w:type="continuationSeparator" w:id="0">
    <w:p w:rsidR="00035058" w:rsidRDefault="0003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58" w:rsidRDefault="00035058">
      <w:pPr>
        <w:spacing w:after="0" w:line="240" w:lineRule="auto"/>
      </w:pPr>
      <w:r>
        <w:separator/>
      </w:r>
    </w:p>
  </w:footnote>
  <w:footnote w:type="continuationSeparator" w:id="0">
    <w:p w:rsidR="00035058" w:rsidRDefault="0003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85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6785" w:rsidRDefault="000350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6EFB"/>
    <w:multiLevelType w:val="hybridMultilevel"/>
    <w:tmpl w:val="E2E4E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1A1FC9"/>
    <w:multiLevelType w:val="multilevel"/>
    <w:tmpl w:val="9656E2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" w:hanging="1440"/>
      </w:pPr>
      <w:rPr>
        <w:rFonts w:hint="default"/>
      </w:rPr>
    </w:lvl>
  </w:abstractNum>
  <w:abstractNum w:abstractNumId="13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7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C35D74"/>
    <w:multiLevelType w:val="hybridMultilevel"/>
    <w:tmpl w:val="F38AAA20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E43438"/>
    <w:multiLevelType w:val="hybridMultilevel"/>
    <w:tmpl w:val="08C85628"/>
    <w:lvl w:ilvl="0" w:tplc="09AC57E4">
      <w:start w:val="1"/>
      <w:numFmt w:val="bullet"/>
      <w:lvlText w:val="‒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4A75D34"/>
    <w:multiLevelType w:val="hybridMultilevel"/>
    <w:tmpl w:val="3A62475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8454937"/>
    <w:multiLevelType w:val="hybridMultilevel"/>
    <w:tmpl w:val="60BC9714"/>
    <w:lvl w:ilvl="0" w:tplc="E0E8CEA8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2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1"/>
  </w:num>
  <w:num w:numId="5">
    <w:abstractNumId w:val="31"/>
  </w:num>
  <w:num w:numId="6">
    <w:abstractNumId w:val="8"/>
  </w:num>
  <w:num w:numId="7">
    <w:abstractNumId w:val="21"/>
  </w:num>
  <w:num w:numId="8">
    <w:abstractNumId w:val="32"/>
  </w:num>
  <w:num w:numId="9">
    <w:abstractNumId w:val="9"/>
  </w:num>
  <w:num w:numId="10">
    <w:abstractNumId w:val="14"/>
  </w:num>
  <w:num w:numId="11">
    <w:abstractNumId w:val="12"/>
  </w:num>
  <w:num w:numId="12">
    <w:abstractNumId w:val="43"/>
  </w:num>
  <w:num w:numId="13">
    <w:abstractNumId w:val="36"/>
  </w:num>
  <w:num w:numId="14">
    <w:abstractNumId w:val="35"/>
  </w:num>
  <w:num w:numId="15">
    <w:abstractNumId w:val="23"/>
  </w:num>
  <w:num w:numId="16">
    <w:abstractNumId w:val="39"/>
  </w:num>
  <w:num w:numId="17">
    <w:abstractNumId w:val="24"/>
  </w:num>
  <w:num w:numId="18">
    <w:abstractNumId w:val="0"/>
  </w:num>
  <w:num w:numId="19">
    <w:abstractNumId w:val="19"/>
  </w:num>
  <w:num w:numId="20">
    <w:abstractNumId w:val="17"/>
  </w:num>
  <w:num w:numId="21">
    <w:abstractNumId w:val="33"/>
  </w:num>
  <w:num w:numId="22">
    <w:abstractNumId w:val="11"/>
  </w:num>
  <w:num w:numId="23">
    <w:abstractNumId w:val="28"/>
  </w:num>
  <w:num w:numId="24">
    <w:abstractNumId w:val="7"/>
  </w:num>
  <w:num w:numId="25">
    <w:abstractNumId w:val="25"/>
  </w:num>
  <w:num w:numId="26">
    <w:abstractNumId w:val="30"/>
  </w:num>
  <w:num w:numId="27">
    <w:abstractNumId w:val="15"/>
  </w:num>
  <w:num w:numId="28">
    <w:abstractNumId w:val="37"/>
  </w:num>
  <w:num w:numId="29">
    <w:abstractNumId w:val="3"/>
  </w:num>
  <w:num w:numId="30">
    <w:abstractNumId w:val="6"/>
  </w:num>
  <w:num w:numId="31">
    <w:abstractNumId w:val="22"/>
  </w:num>
  <w:num w:numId="32">
    <w:abstractNumId w:val="4"/>
  </w:num>
  <w:num w:numId="33">
    <w:abstractNumId w:val="5"/>
  </w:num>
  <w:num w:numId="34">
    <w:abstractNumId w:val="38"/>
  </w:num>
  <w:num w:numId="35">
    <w:abstractNumId w:val="18"/>
  </w:num>
  <w:num w:numId="36">
    <w:abstractNumId w:val="34"/>
  </w:num>
  <w:num w:numId="37">
    <w:abstractNumId w:val="42"/>
  </w:num>
  <w:num w:numId="38">
    <w:abstractNumId w:val="41"/>
  </w:num>
  <w:num w:numId="39">
    <w:abstractNumId w:val="40"/>
  </w:num>
  <w:num w:numId="40">
    <w:abstractNumId w:val="2"/>
  </w:num>
  <w:num w:numId="41">
    <w:abstractNumId w:val="10"/>
  </w:num>
  <w:num w:numId="42">
    <w:abstractNumId w:val="26"/>
  </w:num>
  <w:num w:numId="43">
    <w:abstractNumId w:val="29"/>
  </w:num>
  <w:num w:numId="44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D0"/>
    <w:rsid w:val="0001212D"/>
    <w:rsid w:val="0003088A"/>
    <w:rsid w:val="00035058"/>
    <w:rsid w:val="00050CA1"/>
    <w:rsid w:val="0005357A"/>
    <w:rsid w:val="00070627"/>
    <w:rsid w:val="00080F91"/>
    <w:rsid w:val="00081557"/>
    <w:rsid w:val="000A48D0"/>
    <w:rsid w:val="000B18F7"/>
    <w:rsid w:val="000C10B4"/>
    <w:rsid w:val="000F7936"/>
    <w:rsid w:val="001063D7"/>
    <w:rsid w:val="00106AFE"/>
    <w:rsid w:val="00110184"/>
    <w:rsid w:val="0015313F"/>
    <w:rsid w:val="001544D1"/>
    <w:rsid w:val="00170E40"/>
    <w:rsid w:val="001940A7"/>
    <w:rsid w:val="001B5C69"/>
    <w:rsid w:val="001C654D"/>
    <w:rsid w:val="0023187B"/>
    <w:rsid w:val="00231C55"/>
    <w:rsid w:val="00233EF0"/>
    <w:rsid w:val="00242C6A"/>
    <w:rsid w:val="00250D2B"/>
    <w:rsid w:val="002764C9"/>
    <w:rsid w:val="002859CD"/>
    <w:rsid w:val="002A0D2B"/>
    <w:rsid w:val="002A1890"/>
    <w:rsid w:val="002A252C"/>
    <w:rsid w:val="002C3A9F"/>
    <w:rsid w:val="00300019"/>
    <w:rsid w:val="00314F63"/>
    <w:rsid w:val="00326206"/>
    <w:rsid w:val="00327F75"/>
    <w:rsid w:val="0035348B"/>
    <w:rsid w:val="00387E2C"/>
    <w:rsid w:val="003B3C57"/>
    <w:rsid w:val="003C06BD"/>
    <w:rsid w:val="003C73A8"/>
    <w:rsid w:val="003E6D9C"/>
    <w:rsid w:val="003F3141"/>
    <w:rsid w:val="004C5599"/>
    <w:rsid w:val="00507D7C"/>
    <w:rsid w:val="0054247C"/>
    <w:rsid w:val="00556762"/>
    <w:rsid w:val="0058226C"/>
    <w:rsid w:val="005B232F"/>
    <w:rsid w:val="005D328E"/>
    <w:rsid w:val="005E7BDE"/>
    <w:rsid w:val="00644EE7"/>
    <w:rsid w:val="00661EBB"/>
    <w:rsid w:val="0066242B"/>
    <w:rsid w:val="00676C06"/>
    <w:rsid w:val="006A3A10"/>
    <w:rsid w:val="00700423"/>
    <w:rsid w:val="00710648"/>
    <w:rsid w:val="0074036B"/>
    <w:rsid w:val="007725D3"/>
    <w:rsid w:val="007C0F26"/>
    <w:rsid w:val="007E6D59"/>
    <w:rsid w:val="00871136"/>
    <w:rsid w:val="00890044"/>
    <w:rsid w:val="00897E09"/>
    <w:rsid w:val="008A11BB"/>
    <w:rsid w:val="008C3AE3"/>
    <w:rsid w:val="00933089"/>
    <w:rsid w:val="00984385"/>
    <w:rsid w:val="009A35C6"/>
    <w:rsid w:val="009B3333"/>
    <w:rsid w:val="009C7253"/>
    <w:rsid w:val="00A223D1"/>
    <w:rsid w:val="00A24ED0"/>
    <w:rsid w:val="00AD59C6"/>
    <w:rsid w:val="00AF5B66"/>
    <w:rsid w:val="00AF74A0"/>
    <w:rsid w:val="00B07FE2"/>
    <w:rsid w:val="00B12F10"/>
    <w:rsid w:val="00B62BA7"/>
    <w:rsid w:val="00B70839"/>
    <w:rsid w:val="00B9664A"/>
    <w:rsid w:val="00BA4D11"/>
    <w:rsid w:val="00BC0686"/>
    <w:rsid w:val="00C24BC2"/>
    <w:rsid w:val="00C77120"/>
    <w:rsid w:val="00C91974"/>
    <w:rsid w:val="00CB7AE3"/>
    <w:rsid w:val="00CE5978"/>
    <w:rsid w:val="00CF128B"/>
    <w:rsid w:val="00D0266E"/>
    <w:rsid w:val="00D11D16"/>
    <w:rsid w:val="00D851BC"/>
    <w:rsid w:val="00D953F3"/>
    <w:rsid w:val="00D9765C"/>
    <w:rsid w:val="00DF2A4D"/>
    <w:rsid w:val="00E00052"/>
    <w:rsid w:val="00E05C2E"/>
    <w:rsid w:val="00E146A5"/>
    <w:rsid w:val="00E462E6"/>
    <w:rsid w:val="00E66462"/>
    <w:rsid w:val="00E818F6"/>
    <w:rsid w:val="00E96B32"/>
    <w:rsid w:val="00EB1DA0"/>
    <w:rsid w:val="00ED3C69"/>
    <w:rsid w:val="00EF2450"/>
    <w:rsid w:val="00EF6F57"/>
    <w:rsid w:val="00F26F22"/>
    <w:rsid w:val="00F55D73"/>
    <w:rsid w:val="00F5650B"/>
    <w:rsid w:val="00F82D8E"/>
    <w:rsid w:val="00F839F7"/>
    <w:rsid w:val="00FA4E85"/>
    <w:rsid w:val="00FA66A0"/>
    <w:rsid w:val="00FA6AD1"/>
    <w:rsid w:val="00FD04FE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2025-01-18T06:16:00Z</dcterms:created>
  <dcterms:modified xsi:type="dcterms:W3CDTF">2025-01-18T06:19:00Z</dcterms:modified>
</cp:coreProperties>
</file>