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0C8C0C48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5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5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5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7722B" w14:textId="7CF6B602" w:rsidR="00AD59C6" w:rsidRPr="00AD59C6" w:rsidRDefault="00AD59C6" w:rsidP="00327F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</w:t>
      </w:r>
      <w:r w:rsidR="00CE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семинара)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работника(ов) Заказчика по теме: </w:t>
      </w:r>
      <w:r w:rsidR="00150B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B01" w:rsidRPr="00150B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и налоговая отчетность за 1-е полугодие 2025: все самое важное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14:paraId="19E3D203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14:paraId="53FC7044" w14:textId="53FCA2EB"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</w:t>
      </w:r>
      <w:r w:rsidR="00150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направляется заказчику на указанный электронный адрес при регистрации. </w:t>
      </w:r>
    </w:p>
    <w:p w14:paraId="166BBCDE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395429" w14:textId="77777777"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14:paraId="3B183AC6" w14:textId="77777777" w:rsidR="00150B01" w:rsidRPr="00CD27E4" w:rsidRDefault="00150B01" w:rsidP="00150B01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284" w:hanging="284"/>
        <w:rPr>
          <w:b/>
          <w:bCs/>
          <w:sz w:val="24"/>
          <w:szCs w:val="24"/>
        </w:rPr>
      </w:pPr>
      <w:r w:rsidRPr="00CD27E4">
        <w:rPr>
          <w:b/>
          <w:sz w:val="24"/>
          <w:szCs w:val="24"/>
        </w:rPr>
        <w:t xml:space="preserve">Общие вопросы ведения бухгалтерского учета </w:t>
      </w:r>
    </w:p>
    <w:p w14:paraId="2B939C7E" w14:textId="77777777" w:rsidR="00150B01" w:rsidRPr="00CD27E4" w:rsidRDefault="00150B01" w:rsidP="00150B01">
      <w:pPr>
        <w:pStyle w:val="a8"/>
        <w:numPr>
          <w:ilvl w:val="0"/>
          <w:numId w:val="17"/>
        </w:numPr>
        <w:spacing w:before="100" w:beforeAutospacing="1" w:after="100" w:afterAutospacing="1" w:line="240" w:lineRule="atLeast"/>
        <w:ind w:left="851" w:hanging="425"/>
        <w:rPr>
          <w:rFonts w:ascii="Aptos" w:hAnsi="Aptos" w:cs="Aptos"/>
          <w:sz w:val="21"/>
          <w:szCs w:val="21"/>
        </w:rPr>
      </w:pPr>
      <w:r w:rsidRPr="00CD27E4">
        <w:rPr>
          <w:rFonts w:ascii="Aptos" w:hAnsi="Aptos" w:cs="Aptos"/>
          <w:sz w:val="21"/>
          <w:szCs w:val="21"/>
        </w:rPr>
        <w:t xml:space="preserve">Апрельские изменения Минфина в план развития бухгалтерского учёта до 2030 года. </w:t>
      </w:r>
    </w:p>
    <w:p w14:paraId="58E74A17" w14:textId="77777777" w:rsidR="00150B01" w:rsidRPr="00CD27E4" w:rsidRDefault="00150B01" w:rsidP="00150B01">
      <w:pPr>
        <w:pStyle w:val="a8"/>
        <w:numPr>
          <w:ilvl w:val="0"/>
          <w:numId w:val="17"/>
        </w:numPr>
        <w:spacing w:line="240" w:lineRule="atLeast"/>
        <w:ind w:left="851" w:hanging="425"/>
        <w:contextualSpacing w:val="0"/>
        <w:rPr>
          <w:rFonts w:ascii="Aptos" w:hAnsi="Aptos" w:cs="Aptos"/>
          <w:sz w:val="21"/>
          <w:szCs w:val="21"/>
        </w:rPr>
      </w:pPr>
      <w:r w:rsidRPr="00CD27E4">
        <w:rPr>
          <w:rFonts w:ascii="Aptos" w:hAnsi="Aptos" w:cs="Aptos"/>
          <w:sz w:val="21"/>
          <w:szCs w:val="21"/>
        </w:rPr>
        <w:t>Проект изменений в ФСБУ 4/2023 «Бухгалтерская (финансовая) отчетность».</w:t>
      </w:r>
    </w:p>
    <w:p w14:paraId="3C1236A9" w14:textId="77777777" w:rsidR="00150B01" w:rsidRPr="00CD27E4" w:rsidRDefault="00150B01" w:rsidP="00150B01">
      <w:pPr>
        <w:pStyle w:val="a8"/>
        <w:numPr>
          <w:ilvl w:val="0"/>
          <w:numId w:val="17"/>
        </w:numPr>
        <w:spacing w:line="240" w:lineRule="atLeast"/>
        <w:ind w:left="851" w:hanging="425"/>
        <w:contextualSpacing w:val="0"/>
        <w:rPr>
          <w:rFonts w:ascii="Aptos" w:hAnsi="Aptos" w:cs="Aptos"/>
          <w:sz w:val="21"/>
          <w:szCs w:val="21"/>
        </w:rPr>
      </w:pPr>
      <w:r w:rsidRPr="00CD27E4">
        <w:rPr>
          <w:rFonts w:ascii="Aptos" w:hAnsi="Aptos" w:cs="Aptos"/>
          <w:sz w:val="21"/>
          <w:szCs w:val="21"/>
        </w:rPr>
        <w:t>Вопросы отражения расчетов с использованием ЕНС в бухгалтерской отчетности: мнение МФ и профсообщества</w:t>
      </w:r>
    </w:p>
    <w:p w14:paraId="21C7D739" w14:textId="77777777" w:rsidR="00150B01" w:rsidRPr="00CD27E4" w:rsidRDefault="00150B01" w:rsidP="00150B01">
      <w:pPr>
        <w:pStyle w:val="a8"/>
        <w:numPr>
          <w:ilvl w:val="0"/>
          <w:numId w:val="17"/>
        </w:numPr>
        <w:spacing w:line="240" w:lineRule="atLeast"/>
        <w:ind w:left="851" w:hanging="425"/>
        <w:contextualSpacing w:val="0"/>
        <w:rPr>
          <w:rFonts w:ascii="Aptos" w:hAnsi="Aptos" w:cs="Aptos"/>
          <w:sz w:val="21"/>
          <w:szCs w:val="21"/>
        </w:rPr>
      </w:pPr>
      <w:r w:rsidRPr="00CD27E4">
        <w:rPr>
          <w:rFonts w:ascii="Aptos" w:hAnsi="Aptos" w:cs="Aptos"/>
          <w:sz w:val="21"/>
          <w:szCs w:val="21"/>
        </w:rPr>
        <w:t>Отдельные вопросы учета общепроизводственных и общехозяйственных расходов, сверхнормативных потерь.</w:t>
      </w:r>
    </w:p>
    <w:p w14:paraId="0A9879C8" w14:textId="77777777" w:rsidR="00150B01" w:rsidRPr="00CD27E4" w:rsidRDefault="00150B01" w:rsidP="00150B01">
      <w:pPr>
        <w:contextualSpacing/>
        <w:rPr>
          <w:b/>
          <w:sz w:val="24"/>
          <w:szCs w:val="24"/>
        </w:rPr>
      </w:pPr>
      <w:r w:rsidRPr="00CD27E4">
        <w:rPr>
          <w:b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1684997E" w14:textId="77777777" w:rsidR="00150B01" w:rsidRPr="00CD27E4" w:rsidRDefault="00150B01" w:rsidP="00150B01">
      <w:pPr>
        <w:contextualSpacing/>
        <w:textAlignment w:val="baseline"/>
        <w:rPr>
          <w:b/>
          <w:sz w:val="24"/>
          <w:szCs w:val="24"/>
        </w:rPr>
      </w:pPr>
      <w:r w:rsidRPr="00CD27E4">
        <w:rPr>
          <w:b/>
          <w:sz w:val="24"/>
          <w:szCs w:val="24"/>
        </w:rPr>
        <w:t>2.1.  Общие вопросы  </w:t>
      </w:r>
    </w:p>
    <w:p w14:paraId="613CF9B8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b/>
          <w:bCs/>
          <w:sz w:val="21"/>
          <w:szCs w:val="21"/>
        </w:rPr>
        <w:t>ПРОЕКТ поправок в НК РФ:</w:t>
      </w:r>
      <w:r w:rsidRPr="00CD27E4">
        <w:rPr>
          <w:sz w:val="21"/>
          <w:szCs w:val="21"/>
        </w:rPr>
        <w:t xml:space="preserve"> изменения </w:t>
      </w:r>
      <w:r w:rsidRPr="00CD27E4">
        <w:rPr>
          <w:rFonts w:ascii="Calibri" w:hAnsi="Calibri" w:cs="Calibri"/>
          <w:sz w:val="21"/>
          <w:szCs w:val="21"/>
        </w:rPr>
        <w:t>в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сроках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уплаты</w:t>
      </w:r>
      <w:r w:rsidRPr="00CD27E4">
        <w:rPr>
          <w:sz w:val="21"/>
          <w:szCs w:val="21"/>
        </w:rPr>
        <w:t xml:space="preserve"> </w:t>
      </w:r>
      <w:r w:rsidRPr="00CD27E4">
        <w:rPr>
          <w:rFonts w:cs="Calibri"/>
          <w:sz w:val="21"/>
          <w:szCs w:val="21"/>
        </w:rPr>
        <w:t>налогов</w:t>
      </w:r>
      <w:r w:rsidRPr="00CD27E4">
        <w:rPr>
          <w:sz w:val="21"/>
          <w:szCs w:val="21"/>
        </w:rPr>
        <w:t xml:space="preserve">, </w:t>
      </w:r>
      <w:r w:rsidRPr="00CD27E4">
        <w:rPr>
          <w:rFonts w:ascii="Calibri" w:hAnsi="Calibri" w:cs="Calibri"/>
          <w:sz w:val="21"/>
          <w:szCs w:val="21"/>
        </w:rPr>
        <w:t>ограничение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возможности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исправлять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налоговые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ошибки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в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текущем</w:t>
      </w:r>
      <w:r w:rsidRPr="00CD27E4">
        <w:rPr>
          <w:sz w:val="21"/>
          <w:szCs w:val="21"/>
        </w:rPr>
        <w:t xml:space="preserve"> </w:t>
      </w:r>
      <w:r w:rsidRPr="00CD27E4">
        <w:rPr>
          <w:rFonts w:cs="Calibri"/>
          <w:sz w:val="21"/>
          <w:szCs w:val="21"/>
        </w:rPr>
        <w:t>периоде</w:t>
      </w:r>
      <w:r w:rsidRPr="00CD27E4">
        <w:rPr>
          <w:sz w:val="21"/>
          <w:szCs w:val="21"/>
        </w:rPr>
        <w:t xml:space="preserve">; изменение </w:t>
      </w:r>
      <w:r w:rsidRPr="00CD27E4">
        <w:rPr>
          <w:rFonts w:ascii="Calibri" w:hAnsi="Calibri" w:cs="Calibri"/>
          <w:sz w:val="21"/>
          <w:szCs w:val="21"/>
        </w:rPr>
        <w:t>срока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уплаты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имущественных</w:t>
      </w:r>
      <w:r w:rsidRPr="00CD27E4">
        <w:rPr>
          <w:sz w:val="21"/>
          <w:szCs w:val="21"/>
        </w:rPr>
        <w:t xml:space="preserve"> </w:t>
      </w:r>
      <w:r w:rsidRPr="00CD27E4">
        <w:rPr>
          <w:rFonts w:cs="Calibri"/>
          <w:sz w:val="21"/>
          <w:szCs w:val="21"/>
        </w:rPr>
        <w:t>налогов</w:t>
      </w:r>
      <w:r w:rsidRPr="00CD27E4">
        <w:rPr>
          <w:sz w:val="21"/>
          <w:szCs w:val="21"/>
        </w:rPr>
        <w:t xml:space="preserve">; новшества в порядке представления уведомлений </w:t>
      </w:r>
      <w:r w:rsidRPr="00CD27E4">
        <w:rPr>
          <w:rFonts w:ascii="Calibri" w:hAnsi="Calibri" w:cs="Calibri"/>
          <w:sz w:val="21"/>
          <w:szCs w:val="21"/>
        </w:rPr>
        <w:t>по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НДФЛ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и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взносам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и</w:t>
      </w:r>
      <w:r w:rsidRPr="00CD27E4">
        <w:rPr>
          <w:sz w:val="21"/>
          <w:szCs w:val="21"/>
        </w:rPr>
        <w:t xml:space="preserve"> </w:t>
      </w:r>
      <w:r w:rsidRPr="00CD27E4">
        <w:rPr>
          <w:rFonts w:ascii="Calibri" w:hAnsi="Calibri" w:cs="Calibri"/>
          <w:sz w:val="21"/>
          <w:szCs w:val="21"/>
        </w:rPr>
        <w:t>др</w:t>
      </w:r>
      <w:r w:rsidRPr="00CD27E4">
        <w:rPr>
          <w:sz w:val="21"/>
          <w:szCs w:val="21"/>
        </w:rPr>
        <w:t xml:space="preserve">.  </w:t>
      </w:r>
    </w:p>
    <w:p w14:paraId="7B44FCA7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sz w:val="21"/>
          <w:szCs w:val="21"/>
        </w:rPr>
        <w:t>Минфин обновил правила формирования платежных поручений, в т. ч. на уплату налогов: разбираемся с изменениями.</w:t>
      </w:r>
    </w:p>
    <w:p w14:paraId="209D99B1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sz w:val="21"/>
          <w:szCs w:val="21"/>
        </w:rPr>
        <w:t>Майские изменения Правительства в порядке подачи уведомлений о начале бизнеса</w:t>
      </w:r>
    </w:p>
    <w:p w14:paraId="591DDB10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sz w:val="21"/>
          <w:szCs w:val="21"/>
        </w:rPr>
        <w:t>Закон об изменениях в сфере транспортно-экспедиционной деятельности принят: что ждет эту сферу с 2026г</w:t>
      </w:r>
    </w:p>
    <w:p w14:paraId="6969E4C1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sz w:val="21"/>
          <w:szCs w:val="21"/>
        </w:rPr>
        <w:t>Правительство утвердило правила и порядок определения основного кода ОКВЭД.</w:t>
      </w:r>
    </w:p>
    <w:p w14:paraId="1E79A831" w14:textId="77777777" w:rsidR="00150B01" w:rsidRPr="00CD27E4" w:rsidRDefault="00150B01" w:rsidP="00150B01">
      <w:pPr>
        <w:pStyle w:val="a8"/>
        <w:numPr>
          <w:ilvl w:val="0"/>
          <w:numId w:val="45"/>
        </w:numPr>
        <w:spacing w:line="240" w:lineRule="atLeast"/>
        <w:ind w:left="851" w:hanging="425"/>
        <w:rPr>
          <w:sz w:val="21"/>
          <w:szCs w:val="21"/>
        </w:rPr>
      </w:pPr>
      <w:r w:rsidRPr="00CD27E4">
        <w:rPr>
          <w:sz w:val="21"/>
          <w:szCs w:val="21"/>
        </w:rPr>
        <w:t>Новый сервис ФНС для составления и подписания договоров.</w:t>
      </w:r>
    </w:p>
    <w:p w14:paraId="3C361EBE" w14:textId="77777777" w:rsidR="00150B01" w:rsidRPr="00CD27E4" w:rsidRDefault="00150B01" w:rsidP="00150B01">
      <w:pPr>
        <w:pStyle w:val="a8"/>
        <w:ind w:left="851"/>
        <w:rPr>
          <w:sz w:val="21"/>
          <w:szCs w:val="21"/>
        </w:rPr>
      </w:pPr>
    </w:p>
    <w:p w14:paraId="034628AF" w14:textId="77777777" w:rsidR="00150B01" w:rsidRPr="00CD27E4" w:rsidRDefault="00150B01" w:rsidP="00150B01">
      <w:pPr>
        <w:contextualSpacing/>
        <w:textAlignment w:val="baseline"/>
        <w:rPr>
          <w:b/>
          <w:sz w:val="24"/>
          <w:szCs w:val="24"/>
        </w:rPr>
      </w:pPr>
      <w:r w:rsidRPr="00CD27E4">
        <w:rPr>
          <w:b/>
          <w:sz w:val="24"/>
          <w:szCs w:val="24"/>
        </w:rPr>
        <w:t>2.2. «Зарплатные» налоги и сборы:</w:t>
      </w:r>
    </w:p>
    <w:p w14:paraId="359363E4" w14:textId="77777777" w:rsidR="00150B01" w:rsidRPr="00CD27E4" w:rsidRDefault="00150B01" w:rsidP="00150B01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D27E4">
        <w:rPr>
          <w:b/>
          <w:bCs/>
          <w:sz w:val="21"/>
          <w:szCs w:val="21"/>
        </w:rPr>
        <w:t xml:space="preserve">НДФЛ и страховые вносы в 2025г: </w:t>
      </w:r>
      <w:r w:rsidRPr="00CD27E4">
        <w:rPr>
          <w:sz w:val="21"/>
          <w:szCs w:val="21"/>
        </w:rPr>
        <w:t xml:space="preserve">основные новации. </w:t>
      </w:r>
      <w:r w:rsidRPr="00CD27E4">
        <w:rPr>
          <w:b/>
          <w:bCs/>
          <w:sz w:val="21"/>
          <w:szCs w:val="21"/>
        </w:rPr>
        <w:t>Разъяснения ФНС и МФ РФ.</w:t>
      </w:r>
      <w:r w:rsidRPr="00CD27E4">
        <w:rPr>
          <w:sz w:val="21"/>
          <w:szCs w:val="21"/>
        </w:rPr>
        <w:t xml:space="preserve"> Нюансы применения пониженных тарифов страховых вносов</w:t>
      </w:r>
    </w:p>
    <w:p w14:paraId="726C0302" w14:textId="77777777" w:rsidR="00150B01" w:rsidRPr="00CD27E4" w:rsidRDefault="00150B01" w:rsidP="00150B01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D27E4">
        <w:rPr>
          <w:i/>
          <w:iCs/>
          <w:sz w:val="21"/>
          <w:szCs w:val="21"/>
        </w:rPr>
        <w:t>РК , средняя зарплата, НДФЛ</w:t>
      </w:r>
      <w:r w:rsidRPr="00CD27E4">
        <w:rPr>
          <w:b/>
          <w:bCs/>
          <w:sz w:val="21"/>
          <w:szCs w:val="21"/>
        </w:rPr>
        <w:t xml:space="preserve"> – новый подход к данному вопросу!</w:t>
      </w:r>
    </w:p>
    <w:p w14:paraId="34BC6B1F" w14:textId="77777777" w:rsidR="00150B01" w:rsidRPr="00CD27E4" w:rsidRDefault="00150B01" w:rsidP="00150B01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sz w:val="21"/>
          <w:szCs w:val="21"/>
        </w:rPr>
      </w:pPr>
      <w:r w:rsidRPr="00CD27E4">
        <w:rPr>
          <w:sz w:val="21"/>
          <w:szCs w:val="21"/>
        </w:rPr>
        <w:t>Особенности отчетной компании:6-НДФЛ и РСВ. Судебная практика.</w:t>
      </w:r>
    </w:p>
    <w:p w14:paraId="3B6666CB" w14:textId="77777777" w:rsidR="00150B01" w:rsidRPr="00CD27E4" w:rsidRDefault="00150B01" w:rsidP="00150B01">
      <w:pPr>
        <w:pStyle w:val="a8"/>
        <w:ind w:left="709"/>
        <w:rPr>
          <w:sz w:val="21"/>
          <w:szCs w:val="21"/>
        </w:rPr>
      </w:pPr>
    </w:p>
    <w:p w14:paraId="62824E1D" w14:textId="77777777" w:rsidR="00150B01" w:rsidRPr="00CD27E4" w:rsidRDefault="00150B01" w:rsidP="00150B01">
      <w:pPr>
        <w:pStyle w:val="a8"/>
        <w:ind w:hanging="720"/>
        <w:rPr>
          <w:b/>
          <w:sz w:val="24"/>
          <w:szCs w:val="24"/>
        </w:rPr>
      </w:pPr>
      <w:r w:rsidRPr="00CD27E4">
        <w:rPr>
          <w:b/>
          <w:sz w:val="24"/>
          <w:szCs w:val="24"/>
        </w:rPr>
        <w:t>2.3.    Налог на прибыль: изменения и практика применения</w:t>
      </w:r>
    </w:p>
    <w:p w14:paraId="3BFB9C9B" w14:textId="77777777" w:rsidR="00150B01" w:rsidRPr="00CD27E4" w:rsidRDefault="00150B01" w:rsidP="00150B01">
      <w:pPr>
        <w:numPr>
          <w:ilvl w:val="0"/>
          <w:numId w:val="25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Cs/>
          <w:sz w:val="21"/>
          <w:szCs w:val="21"/>
        </w:rPr>
      </w:pPr>
      <w:r w:rsidRPr="00CD27E4">
        <w:rPr>
          <w:rFonts w:ascii="Aptos" w:hAnsi="Aptos" w:cs="Aptos"/>
          <w:bCs/>
          <w:sz w:val="21"/>
          <w:szCs w:val="21"/>
        </w:rPr>
        <w:lastRenderedPageBreak/>
        <w:t xml:space="preserve">2025г: основные новации. </w:t>
      </w:r>
      <w:r w:rsidRPr="00CD27E4">
        <w:rPr>
          <w:rFonts w:ascii="Aptos" w:hAnsi="Aptos" w:cs="Aptos"/>
          <w:b/>
          <w:sz w:val="21"/>
          <w:szCs w:val="21"/>
        </w:rPr>
        <w:t>Исправление ошибок за прошлые периоды</w:t>
      </w:r>
      <w:r w:rsidRPr="00CD27E4">
        <w:rPr>
          <w:rFonts w:ascii="Aptos" w:hAnsi="Aptos" w:cs="Aptos"/>
          <w:bCs/>
          <w:sz w:val="21"/>
          <w:szCs w:val="21"/>
        </w:rPr>
        <w:t xml:space="preserve"> - рекомендации Минфина РФ.</w:t>
      </w:r>
    </w:p>
    <w:p w14:paraId="3EB3B9A1" w14:textId="77777777" w:rsidR="00150B01" w:rsidRPr="00CD27E4" w:rsidRDefault="00150B01" w:rsidP="00150B01">
      <w:pPr>
        <w:numPr>
          <w:ilvl w:val="0"/>
          <w:numId w:val="25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/>
        </w:rPr>
      </w:pPr>
      <w:r w:rsidRPr="00CD27E4">
        <w:rPr>
          <w:rFonts w:ascii="Aptos" w:hAnsi="Aptos" w:cs="Aptos"/>
          <w:b/>
          <w:sz w:val="21"/>
          <w:szCs w:val="21"/>
        </w:rPr>
        <w:t>Отдельные вопросы</w:t>
      </w:r>
      <w:r w:rsidRPr="00CD27E4">
        <w:rPr>
          <w:rFonts w:ascii="Aptos" w:hAnsi="Aptos" w:cs="Aptos"/>
          <w:bCs/>
          <w:sz w:val="21"/>
          <w:szCs w:val="21"/>
        </w:rPr>
        <w:t xml:space="preserve"> подготовки декларации по налогу на прибыль. Судебная практика.</w:t>
      </w:r>
    </w:p>
    <w:p w14:paraId="0FE52EBB" w14:textId="77777777" w:rsidR="00150B01" w:rsidRPr="00CD27E4" w:rsidRDefault="00150B01" w:rsidP="00150B01">
      <w:pPr>
        <w:spacing w:before="100" w:beforeAutospacing="1" w:after="100" w:afterAutospacing="1" w:line="240" w:lineRule="atLeast"/>
        <w:ind w:left="131"/>
        <w:contextualSpacing/>
        <w:rPr>
          <w:rFonts w:ascii="Aptos" w:hAnsi="Aptos" w:cs="Aptos"/>
          <w:bCs/>
          <w:sz w:val="21"/>
          <w:szCs w:val="21"/>
        </w:rPr>
      </w:pPr>
    </w:p>
    <w:p w14:paraId="663E7C38" w14:textId="77777777" w:rsidR="00150B01" w:rsidRPr="00CD27E4" w:rsidRDefault="00150B01" w:rsidP="00150B01">
      <w:pPr>
        <w:spacing w:before="100" w:beforeAutospacing="1" w:after="100" w:afterAutospacing="1" w:line="240" w:lineRule="atLeast"/>
        <w:ind w:left="131"/>
        <w:contextualSpacing/>
        <w:rPr>
          <w:rFonts w:ascii="Aptos" w:hAnsi="Aptos" w:cs="Aptos"/>
          <w:b/>
        </w:rPr>
      </w:pPr>
      <w:r w:rsidRPr="00CD27E4">
        <w:rPr>
          <w:b/>
          <w:sz w:val="24"/>
          <w:szCs w:val="24"/>
        </w:rPr>
        <w:t xml:space="preserve">2.4. НДС: обзор основных изменений, практические вопросы исчисления и уплаты налога </w:t>
      </w:r>
    </w:p>
    <w:p w14:paraId="06306AB5" w14:textId="77777777" w:rsidR="00150B01" w:rsidRPr="00CD27E4" w:rsidRDefault="00150B01" w:rsidP="00150B01">
      <w:pPr>
        <w:pStyle w:val="a8"/>
        <w:numPr>
          <w:ilvl w:val="0"/>
          <w:numId w:val="47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sz w:val="21"/>
          <w:szCs w:val="21"/>
        </w:rPr>
      </w:pPr>
      <w:r w:rsidRPr="00CD27E4">
        <w:rPr>
          <w:rFonts w:ascii="Aptos" w:hAnsi="Aptos" w:cs="Aptos"/>
          <w:bCs/>
          <w:sz w:val="21"/>
          <w:szCs w:val="21"/>
        </w:rPr>
        <w:t>ФНС готовит изменения в порядок обмена электронными счетами-фактурами с 1 октября 2025 года</w:t>
      </w:r>
    </w:p>
    <w:p w14:paraId="0A7A469F" w14:textId="77777777" w:rsidR="00150B01" w:rsidRPr="00CD27E4" w:rsidRDefault="00150B01" w:rsidP="00150B01">
      <w:pPr>
        <w:pStyle w:val="a8"/>
        <w:numPr>
          <w:ilvl w:val="0"/>
          <w:numId w:val="46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color w:val="000000"/>
          <w:sz w:val="21"/>
          <w:szCs w:val="21"/>
        </w:rPr>
      </w:pPr>
      <w:r w:rsidRPr="00CD27E4">
        <w:rPr>
          <w:rFonts w:ascii="Aptos" w:hAnsi="Aptos" w:cs="Aptos"/>
          <w:bCs/>
          <w:sz w:val="21"/>
          <w:szCs w:val="21"/>
        </w:rPr>
        <w:t xml:space="preserve"> Работа с новым форматом электронных счет-фактур и УПД: типичные ошибки</w:t>
      </w:r>
      <w:r w:rsidRPr="00CD27E4">
        <w:rPr>
          <w:rFonts w:ascii="Aptos" w:hAnsi="Aptos" w:cs="Aptos"/>
          <w:bCs/>
          <w:color w:val="000000"/>
          <w:sz w:val="21"/>
          <w:szCs w:val="21"/>
        </w:rPr>
        <w:t>.</w:t>
      </w:r>
    </w:p>
    <w:p w14:paraId="0FF40354" w14:textId="77777777" w:rsidR="00150B01" w:rsidRPr="00CD27E4" w:rsidRDefault="00150B01" w:rsidP="00150B01">
      <w:pPr>
        <w:pStyle w:val="a8"/>
        <w:numPr>
          <w:ilvl w:val="0"/>
          <w:numId w:val="46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color w:val="000000"/>
          <w:sz w:val="21"/>
          <w:szCs w:val="21"/>
        </w:rPr>
      </w:pPr>
      <w:r w:rsidRPr="00CD27E4">
        <w:rPr>
          <w:rFonts w:ascii="Aptos" w:hAnsi="Aptos" w:cs="Aptos"/>
          <w:bCs/>
          <w:color w:val="000000"/>
          <w:sz w:val="21"/>
          <w:szCs w:val="21"/>
        </w:rPr>
        <w:t>Исчисление НДС в отношении медных полуфабрикатов</w:t>
      </w:r>
    </w:p>
    <w:p w14:paraId="1F305E85" w14:textId="77777777" w:rsidR="00150B01" w:rsidRPr="00CD27E4" w:rsidRDefault="00150B01" w:rsidP="00150B01">
      <w:pPr>
        <w:pStyle w:val="a8"/>
        <w:numPr>
          <w:ilvl w:val="0"/>
          <w:numId w:val="46"/>
        </w:numPr>
        <w:spacing w:before="100" w:beforeAutospacing="1" w:after="100" w:afterAutospacing="1" w:line="240" w:lineRule="atLeast"/>
        <w:ind w:left="709" w:hanging="283"/>
        <w:rPr>
          <w:rFonts w:ascii="Aptos" w:hAnsi="Aptos" w:cs="Aptos"/>
          <w:bCs/>
          <w:color w:val="000000"/>
          <w:sz w:val="21"/>
          <w:szCs w:val="21"/>
        </w:rPr>
      </w:pPr>
      <w:r w:rsidRPr="00CD27E4">
        <w:rPr>
          <w:rFonts w:ascii="Aptos" w:hAnsi="Aptos" w:cs="Aptos"/>
          <w:bCs/>
          <w:color w:val="000000"/>
          <w:sz w:val="21"/>
          <w:szCs w:val="21"/>
        </w:rPr>
        <w:t>Спорные вопросы применения вычетов, восстановление НДС</w:t>
      </w:r>
    </w:p>
    <w:p w14:paraId="385E759F" w14:textId="77777777" w:rsidR="00327F75" w:rsidRPr="00327F75" w:rsidRDefault="00327F75" w:rsidP="003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32"/>
          <w:szCs w:val="32"/>
          <w:lang w:eastAsia="ru-RU"/>
        </w:rPr>
      </w:pPr>
    </w:p>
    <w:p w14:paraId="0FF8ACAA" w14:textId="77777777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14:paraId="5204B705" w14:textId="73461E5A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10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Hlk1931921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0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100 %-ая  предоплата.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79B8A193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044525411  , к/сч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Е-mail: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59B095DC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C5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3DC0E4EF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31196EAE"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DC017B">
        <w:rPr>
          <w:rFonts w:ascii="Times New Roman" w:eastAsia="Times New Roman" w:hAnsi="Times New Roman" w:cs="Times New Roman"/>
          <w:lang w:eastAsia="ru-RU"/>
        </w:rPr>
        <w:t>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AC52ED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г  информационно-консультационные услуги в форме семинара (онлайн-</w:t>
      </w:r>
      <w:r w:rsidR="0051039A">
        <w:rPr>
          <w:rFonts w:ascii="Times New Roman" w:eastAsia="Times New Roman" w:hAnsi="Times New Roman" w:cs="Times New Roman"/>
          <w:color w:val="000000"/>
          <w:lang w:eastAsia="ru-RU"/>
        </w:rPr>
        <w:t>записи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семинара) по теме: </w:t>
      </w:r>
      <w:r w:rsidR="00050CA1" w:rsidRPr="00623923">
        <w:rPr>
          <w:b/>
          <w:bCs/>
        </w:rPr>
        <w:t>«</w:t>
      </w:r>
      <w:r w:rsidR="00AC52ED" w:rsidRPr="00AC52ED">
        <w:rPr>
          <w:b/>
          <w:bCs/>
        </w:rPr>
        <w:t>Бухгалтерская и налоговая отчетность за 1-е полугодие 2025: все самое важное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6180400F" w:rsidR="000A48D0" w:rsidRPr="006A3A10" w:rsidRDefault="007267CF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3157F41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044525411  , к/сч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4F44" w14:textId="77777777" w:rsidR="004D0E59" w:rsidRDefault="004D0E59">
      <w:pPr>
        <w:spacing w:after="0" w:line="240" w:lineRule="auto"/>
      </w:pPr>
      <w:r>
        <w:separator/>
      </w:r>
    </w:p>
  </w:endnote>
  <w:endnote w:type="continuationSeparator" w:id="0">
    <w:p w14:paraId="4BA20FF2" w14:textId="77777777" w:rsidR="004D0E59" w:rsidRDefault="004D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A5A4" w14:textId="77777777" w:rsidR="004D0E59" w:rsidRDefault="004D0E59">
      <w:pPr>
        <w:spacing w:after="0" w:line="240" w:lineRule="auto"/>
      </w:pPr>
      <w:r>
        <w:separator/>
      </w:r>
    </w:p>
  </w:footnote>
  <w:footnote w:type="continuationSeparator" w:id="0">
    <w:p w14:paraId="21426716" w14:textId="77777777" w:rsidR="004D0E59" w:rsidRDefault="004D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2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5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1"/>
  </w:num>
  <w:num w:numId="2" w16cid:durableId="294874170">
    <w:abstractNumId w:val="17"/>
  </w:num>
  <w:num w:numId="3" w16cid:durableId="1554654291">
    <w:abstractNumId w:val="14"/>
  </w:num>
  <w:num w:numId="4" w16cid:durableId="383454781">
    <w:abstractNumId w:val="2"/>
  </w:num>
  <w:num w:numId="5" w16cid:durableId="1127892700">
    <w:abstractNumId w:val="32"/>
  </w:num>
  <w:num w:numId="6" w16cid:durableId="1323393472">
    <w:abstractNumId w:val="9"/>
  </w:num>
  <w:num w:numId="7" w16cid:durableId="688600478">
    <w:abstractNumId w:val="22"/>
  </w:num>
  <w:num w:numId="8" w16cid:durableId="250236980">
    <w:abstractNumId w:val="33"/>
  </w:num>
  <w:num w:numId="9" w16cid:durableId="1881823689">
    <w:abstractNumId w:val="10"/>
  </w:num>
  <w:num w:numId="10" w16cid:durableId="1258950029">
    <w:abstractNumId w:val="15"/>
  </w:num>
  <w:num w:numId="11" w16cid:durableId="298804836">
    <w:abstractNumId w:val="13"/>
  </w:num>
  <w:num w:numId="12" w16cid:durableId="1881358905">
    <w:abstractNumId w:val="46"/>
  </w:num>
  <w:num w:numId="13" w16cid:durableId="853229856">
    <w:abstractNumId w:val="38"/>
  </w:num>
  <w:num w:numId="14" w16cid:durableId="1457600171">
    <w:abstractNumId w:val="37"/>
  </w:num>
  <w:num w:numId="15" w16cid:durableId="1153065025">
    <w:abstractNumId w:val="25"/>
  </w:num>
  <w:num w:numId="16" w16cid:durableId="1398088662">
    <w:abstractNumId w:val="42"/>
  </w:num>
  <w:num w:numId="17" w16cid:durableId="1980573060">
    <w:abstractNumId w:val="26"/>
  </w:num>
  <w:num w:numId="18" w16cid:durableId="1330600503">
    <w:abstractNumId w:val="0"/>
  </w:num>
  <w:num w:numId="19" w16cid:durableId="1764759719">
    <w:abstractNumId w:val="20"/>
  </w:num>
  <w:num w:numId="20" w16cid:durableId="561454449">
    <w:abstractNumId w:val="18"/>
  </w:num>
  <w:num w:numId="21" w16cid:durableId="320160497">
    <w:abstractNumId w:val="34"/>
  </w:num>
  <w:num w:numId="22" w16cid:durableId="1839880063">
    <w:abstractNumId w:val="12"/>
  </w:num>
  <w:num w:numId="23" w16cid:durableId="1942562764">
    <w:abstractNumId w:val="29"/>
  </w:num>
  <w:num w:numId="24" w16cid:durableId="1660377541">
    <w:abstractNumId w:val="8"/>
  </w:num>
  <w:num w:numId="25" w16cid:durableId="287246336">
    <w:abstractNumId w:val="27"/>
  </w:num>
  <w:num w:numId="26" w16cid:durableId="503131565">
    <w:abstractNumId w:val="31"/>
  </w:num>
  <w:num w:numId="27" w16cid:durableId="1349714797">
    <w:abstractNumId w:val="16"/>
  </w:num>
  <w:num w:numId="28" w16cid:durableId="1227424012">
    <w:abstractNumId w:val="39"/>
  </w:num>
  <w:num w:numId="29" w16cid:durableId="1019281649">
    <w:abstractNumId w:val="4"/>
  </w:num>
  <w:num w:numId="30" w16cid:durableId="866529328">
    <w:abstractNumId w:val="7"/>
  </w:num>
  <w:num w:numId="31" w16cid:durableId="802772312">
    <w:abstractNumId w:val="24"/>
  </w:num>
  <w:num w:numId="32" w16cid:durableId="1647315020">
    <w:abstractNumId w:val="5"/>
  </w:num>
  <w:num w:numId="33" w16cid:durableId="478959438">
    <w:abstractNumId w:val="6"/>
  </w:num>
  <w:num w:numId="34" w16cid:durableId="2041197750">
    <w:abstractNumId w:val="40"/>
  </w:num>
  <w:num w:numId="35" w16cid:durableId="1255746798">
    <w:abstractNumId w:val="19"/>
  </w:num>
  <w:num w:numId="36" w16cid:durableId="438379930">
    <w:abstractNumId w:val="36"/>
  </w:num>
  <w:num w:numId="37" w16cid:durableId="2019697252">
    <w:abstractNumId w:val="45"/>
  </w:num>
  <w:num w:numId="38" w16cid:durableId="1215317485">
    <w:abstractNumId w:val="44"/>
  </w:num>
  <w:num w:numId="39" w16cid:durableId="1217165272">
    <w:abstractNumId w:val="43"/>
  </w:num>
  <w:num w:numId="40" w16cid:durableId="1713380422">
    <w:abstractNumId w:val="3"/>
  </w:num>
  <w:num w:numId="41" w16cid:durableId="366563017">
    <w:abstractNumId w:val="11"/>
  </w:num>
  <w:num w:numId="42" w16cid:durableId="1936282579">
    <w:abstractNumId w:val="28"/>
  </w:num>
  <w:num w:numId="43" w16cid:durableId="730159971">
    <w:abstractNumId w:val="35"/>
  </w:num>
  <w:num w:numId="44" w16cid:durableId="1930767901">
    <w:abstractNumId w:val="30"/>
  </w:num>
  <w:num w:numId="45" w16cid:durableId="840047703">
    <w:abstractNumId w:val="1"/>
  </w:num>
  <w:num w:numId="46" w16cid:durableId="1806116473">
    <w:abstractNumId w:val="41"/>
  </w:num>
  <w:num w:numId="47" w16cid:durableId="78677584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50CA1"/>
    <w:rsid w:val="0005357A"/>
    <w:rsid w:val="00070627"/>
    <w:rsid w:val="00080F91"/>
    <w:rsid w:val="00081557"/>
    <w:rsid w:val="000A48D0"/>
    <w:rsid w:val="000B18F7"/>
    <w:rsid w:val="000C10B4"/>
    <w:rsid w:val="000F5E96"/>
    <w:rsid w:val="001063D7"/>
    <w:rsid w:val="00106AFE"/>
    <w:rsid w:val="00110184"/>
    <w:rsid w:val="00150B01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C5599"/>
    <w:rsid w:val="004D0E59"/>
    <w:rsid w:val="00507D7C"/>
    <w:rsid w:val="0051039A"/>
    <w:rsid w:val="0054247C"/>
    <w:rsid w:val="00556762"/>
    <w:rsid w:val="0058226C"/>
    <w:rsid w:val="005B232F"/>
    <w:rsid w:val="005D328E"/>
    <w:rsid w:val="005E7BDE"/>
    <w:rsid w:val="00615C68"/>
    <w:rsid w:val="00623923"/>
    <w:rsid w:val="00644EE7"/>
    <w:rsid w:val="00661EBB"/>
    <w:rsid w:val="0066242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C52ED"/>
    <w:rsid w:val="00AD59C6"/>
    <w:rsid w:val="00AF5B66"/>
    <w:rsid w:val="00AF74A0"/>
    <w:rsid w:val="00B07FE2"/>
    <w:rsid w:val="00B12F10"/>
    <w:rsid w:val="00B16186"/>
    <w:rsid w:val="00B62BA7"/>
    <w:rsid w:val="00B70839"/>
    <w:rsid w:val="00B9664A"/>
    <w:rsid w:val="00BA4D11"/>
    <w:rsid w:val="00BC0686"/>
    <w:rsid w:val="00C24BC2"/>
    <w:rsid w:val="00C91974"/>
    <w:rsid w:val="00CB7AE3"/>
    <w:rsid w:val="00CE53B7"/>
    <w:rsid w:val="00CE5978"/>
    <w:rsid w:val="00CF128B"/>
    <w:rsid w:val="00CF319A"/>
    <w:rsid w:val="00D0266E"/>
    <w:rsid w:val="00D02695"/>
    <w:rsid w:val="00D11D16"/>
    <w:rsid w:val="00D851BC"/>
    <w:rsid w:val="00D90EAE"/>
    <w:rsid w:val="00D953F3"/>
    <w:rsid w:val="00D9765C"/>
    <w:rsid w:val="00DC017B"/>
    <w:rsid w:val="00DF2A4D"/>
    <w:rsid w:val="00E00052"/>
    <w:rsid w:val="00E05C2E"/>
    <w:rsid w:val="00E146A5"/>
    <w:rsid w:val="00E27147"/>
    <w:rsid w:val="00E462E6"/>
    <w:rsid w:val="00E656A3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C2745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3</cp:revision>
  <dcterms:created xsi:type="dcterms:W3CDTF">2025-06-24T16:56:00Z</dcterms:created>
  <dcterms:modified xsi:type="dcterms:W3CDTF">2025-06-24T17:03:00Z</dcterms:modified>
</cp:coreProperties>
</file>